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5760"/>
      </w:tblGrid>
      <w:tr w:rsidR="0002653C" w:rsidRPr="0034363D" w:rsidTr="0063433A">
        <w:tc>
          <w:tcPr>
            <w:tcW w:w="3528" w:type="dxa"/>
            <w:tcBorders>
              <w:top w:val="nil"/>
              <w:left w:val="nil"/>
              <w:bottom w:val="nil"/>
              <w:right w:val="nil"/>
            </w:tcBorders>
          </w:tcPr>
          <w:p w:rsidR="0002653C" w:rsidRPr="00392082" w:rsidRDefault="0002653C" w:rsidP="00BD6EBE">
            <w:pPr>
              <w:pStyle w:val="Heading1"/>
              <w:rPr>
                <w:sz w:val="26"/>
                <w:szCs w:val="26"/>
              </w:rPr>
            </w:pPr>
            <w:r w:rsidRPr="00392082">
              <w:rPr>
                <w:sz w:val="26"/>
                <w:szCs w:val="26"/>
              </w:rPr>
              <w:t>BỘ TÀI CHÍNH</w:t>
            </w:r>
          </w:p>
        </w:tc>
        <w:tc>
          <w:tcPr>
            <w:tcW w:w="5760" w:type="dxa"/>
            <w:tcBorders>
              <w:top w:val="nil"/>
              <w:left w:val="nil"/>
              <w:bottom w:val="nil"/>
              <w:right w:val="nil"/>
            </w:tcBorders>
          </w:tcPr>
          <w:p w:rsidR="0002653C" w:rsidRPr="00392082" w:rsidRDefault="0002653C" w:rsidP="00392082">
            <w:pPr>
              <w:spacing w:after="0" w:line="240" w:lineRule="auto"/>
              <w:jc w:val="center"/>
              <w:rPr>
                <w:rFonts w:ascii="Times New Roman" w:hAnsi="Times New Roman"/>
                <w:b/>
                <w:sz w:val="26"/>
                <w:szCs w:val="26"/>
                <w:lang w:val="nl-NL"/>
              </w:rPr>
            </w:pPr>
            <w:r w:rsidRPr="00392082">
              <w:rPr>
                <w:rFonts w:ascii="Times New Roman" w:hAnsi="Times New Roman"/>
                <w:b/>
                <w:sz w:val="26"/>
                <w:szCs w:val="26"/>
                <w:lang w:val="nl-NL"/>
              </w:rPr>
              <w:t>CỘNG H</w:t>
            </w:r>
            <w:r w:rsidR="00392082">
              <w:rPr>
                <w:rFonts w:ascii="Times New Roman" w:hAnsi="Times New Roman"/>
                <w:b/>
                <w:sz w:val="26"/>
                <w:szCs w:val="26"/>
                <w:lang w:val="nl-NL"/>
              </w:rPr>
              <w:t>ÒA</w:t>
            </w:r>
            <w:r w:rsidRPr="00392082">
              <w:rPr>
                <w:rFonts w:ascii="Times New Roman" w:hAnsi="Times New Roman"/>
                <w:b/>
                <w:sz w:val="26"/>
                <w:szCs w:val="26"/>
                <w:lang w:val="nl-NL"/>
              </w:rPr>
              <w:t xml:space="preserve"> XÃ HỘI CHỦ NGHĨA VIỆT NAM</w:t>
            </w:r>
          </w:p>
        </w:tc>
      </w:tr>
      <w:tr w:rsidR="0002653C" w:rsidRPr="0034363D" w:rsidTr="0063433A">
        <w:tc>
          <w:tcPr>
            <w:tcW w:w="3528" w:type="dxa"/>
            <w:tcBorders>
              <w:top w:val="nil"/>
              <w:left w:val="nil"/>
              <w:bottom w:val="nil"/>
              <w:right w:val="nil"/>
            </w:tcBorders>
          </w:tcPr>
          <w:p w:rsidR="0002653C" w:rsidRPr="00392082" w:rsidRDefault="0002653C" w:rsidP="00392082">
            <w:pPr>
              <w:spacing w:after="0" w:line="240" w:lineRule="auto"/>
              <w:jc w:val="center"/>
              <w:rPr>
                <w:rFonts w:ascii="Times New Roman" w:hAnsi="Times New Roman"/>
                <w:sz w:val="8"/>
                <w:szCs w:val="8"/>
                <w:lang w:val="nl-NL"/>
              </w:rPr>
            </w:pPr>
            <w:r w:rsidRPr="00392082">
              <w:rPr>
                <w:rFonts w:ascii="Times New Roman" w:hAnsi="Times New Roman"/>
                <w:sz w:val="8"/>
                <w:szCs w:val="8"/>
                <w:lang w:val="nl-NL"/>
              </w:rPr>
              <w:t>____________</w:t>
            </w:r>
            <w:r w:rsidR="00392082">
              <w:rPr>
                <w:rFonts w:ascii="Times New Roman" w:hAnsi="Times New Roman"/>
                <w:sz w:val="8"/>
                <w:szCs w:val="8"/>
                <w:lang w:val="nl-NL"/>
              </w:rPr>
              <w:t>_</w:t>
            </w:r>
          </w:p>
        </w:tc>
        <w:tc>
          <w:tcPr>
            <w:tcW w:w="5760" w:type="dxa"/>
            <w:tcBorders>
              <w:top w:val="nil"/>
              <w:left w:val="nil"/>
              <w:bottom w:val="nil"/>
              <w:right w:val="nil"/>
            </w:tcBorders>
          </w:tcPr>
          <w:p w:rsidR="0002653C" w:rsidRPr="0034363D" w:rsidRDefault="0002653C" w:rsidP="00BD6EBE">
            <w:pPr>
              <w:spacing w:after="0" w:line="240" w:lineRule="auto"/>
              <w:jc w:val="center"/>
              <w:rPr>
                <w:rFonts w:ascii="Times New Roman" w:hAnsi="Times New Roman"/>
                <w:b/>
                <w:sz w:val="28"/>
                <w:szCs w:val="28"/>
              </w:rPr>
            </w:pPr>
            <w:r w:rsidRPr="0034363D">
              <w:rPr>
                <w:rFonts w:ascii="Times New Roman" w:hAnsi="Times New Roman"/>
                <w:b/>
                <w:sz w:val="28"/>
                <w:szCs w:val="28"/>
              </w:rPr>
              <w:t>Độc lập - Tự do - Hạnh phúc</w:t>
            </w:r>
          </w:p>
        </w:tc>
      </w:tr>
      <w:tr w:rsidR="0002653C" w:rsidRPr="0034363D" w:rsidTr="0063433A">
        <w:tc>
          <w:tcPr>
            <w:tcW w:w="3528" w:type="dxa"/>
            <w:tcBorders>
              <w:top w:val="nil"/>
              <w:left w:val="nil"/>
              <w:bottom w:val="nil"/>
              <w:right w:val="nil"/>
            </w:tcBorders>
          </w:tcPr>
          <w:p w:rsidR="0002653C" w:rsidRPr="0034363D" w:rsidRDefault="0002653C" w:rsidP="00BD6EBE">
            <w:pPr>
              <w:spacing w:after="0" w:line="240" w:lineRule="auto"/>
              <w:jc w:val="center"/>
              <w:rPr>
                <w:rFonts w:ascii="Times New Roman" w:hAnsi="Times New Roman"/>
                <w:b/>
                <w:sz w:val="24"/>
                <w:szCs w:val="24"/>
                <w:lang w:val="nl-NL"/>
              </w:rPr>
            </w:pPr>
          </w:p>
        </w:tc>
        <w:tc>
          <w:tcPr>
            <w:tcW w:w="5760" w:type="dxa"/>
            <w:tcBorders>
              <w:top w:val="nil"/>
              <w:left w:val="nil"/>
              <w:bottom w:val="nil"/>
              <w:right w:val="nil"/>
            </w:tcBorders>
          </w:tcPr>
          <w:p w:rsidR="0002653C" w:rsidRPr="00392082" w:rsidRDefault="0002653C" w:rsidP="002C548D">
            <w:pPr>
              <w:spacing w:after="0" w:line="240" w:lineRule="auto"/>
              <w:jc w:val="center"/>
              <w:rPr>
                <w:rFonts w:ascii="Times New Roman" w:hAnsi="Times New Roman"/>
                <w:b/>
                <w:sz w:val="8"/>
                <w:szCs w:val="8"/>
                <w:lang w:val="nl-NL"/>
              </w:rPr>
            </w:pPr>
            <w:r w:rsidRPr="00392082">
              <w:rPr>
                <w:rFonts w:ascii="Times New Roman" w:hAnsi="Times New Roman"/>
                <w:b/>
                <w:sz w:val="8"/>
                <w:szCs w:val="8"/>
                <w:lang w:val="nl-NL"/>
              </w:rPr>
              <w:t>_________________________________________</w:t>
            </w:r>
            <w:r w:rsidR="00392082">
              <w:rPr>
                <w:rFonts w:ascii="Times New Roman" w:hAnsi="Times New Roman"/>
                <w:b/>
                <w:sz w:val="8"/>
                <w:szCs w:val="8"/>
                <w:lang w:val="nl-NL"/>
              </w:rPr>
              <w:t>____________________________________</w:t>
            </w:r>
          </w:p>
        </w:tc>
      </w:tr>
      <w:tr w:rsidR="0002653C" w:rsidRPr="0034363D" w:rsidTr="0063433A">
        <w:tc>
          <w:tcPr>
            <w:tcW w:w="3528" w:type="dxa"/>
            <w:tcBorders>
              <w:top w:val="nil"/>
              <w:left w:val="nil"/>
              <w:bottom w:val="nil"/>
              <w:right w:val="nil"/>
            </w:tcBorders>
          </w:tcPr>
          <w:p w:rsidR="0002653C" w:rsidRPr="00DB40DB" w:rsidRDefault="0002653C" w:rsidP="000008C5">
            <w:pPr>
              <w:spacing w:after="0" w:line="240" w:lineRule="auto"/>
              <w:jc w:val="center"/>
              <w:rPr>
                <w:rFonts w:ascii="Times New Roman" w:hAnsi="Times New Roman"/>
                <w:sz w:val="26"/>
                <w:szCs w:val="26"/>
                <w:lang w:val="nl-NL"/>
              </w:rPr>
            </w:pPr>
            <w:r w:rsidRPr="00DB40DB">
              <w:rPr>
                <w:rFonts w:ascii="Times New Roman" w:hAnsi="Times New Roman"/>
                <w:sz w:val="26"/>
                <w:szCs w:val="26"/>
                <w:lang w:val="nl-NL"/>
              </w:rPr>
              <w:t>Số:      /TTr-BTC</w:t>
            </w:r>
          </w:p>
        </w:tc>
        <w:tc>
          <w:tcPr>
            <w:tcW w:w="5760" w:type="dxa"/>
            <w:tcBorders>
              <w:top w:val="nil"/>
              <w:left w:val="nil"/>
              <w:bottom w:val="nil"/>
              <w:right w:val="nil"/>
            </w:tcBorders>
          </w:tcPr>
          <w:p w:rsidR="0002653C" w:rsidRPr="0034363D" w:rsidRDefault="0002653C" w:rsidP="00A744DA">
            <w:pPr>
              <w:spacing w:after="0" w:line="240" w:lineRule="auto"/>
              <w:jc w:val="center"/>
              <w:rPr>
                <w:rFonts w:ascii="Times New Roman" w:hAnsi="Times New Roman"/>
                <w:i/>
                <w:sz w:val="28"/>
                <w:szCs w:val="28"/>
                <w:lang w:val="nl-NL"/>
              </w:rPr>
            </w:pPr>
            <w:r w:rsidRPr="0034363D">
              <w:rPr>
                <w:rFonts w:ascii="Times New Roman" w:hAnsi="Times New Roman"/>
                <w:i/>
                <w:sz w:val="28"/>
                <w:szCs w:val="28"/>
                <w:lang w:val="nl-NL"/>
              </w:rPr>
              <w:t>Hà Nộ</w:t>
            </w:r>
            <w:r>
              <w:rPr>
                <w:rFonts w:ascii="Times New Roman" w:hAnsi="Times New Roman"/>
                <w:i/>
                <w:sz w:val="28"/>
                <w:szCs w:val="28"/>
                <w:lang w:val="nl-NL"/>
              </w:rPr>
              <w:t>i, ngày      tháng      năm 20</w:t>
            </w:r>
            <w:r w:rsidR="00A744DA">
              <w:rPr>
                <w:rFonts w:ascii="Times New Roman" w:hAnsi="Times New Roman"/>
                <w:i/>
                <w:sz w:val="28"/>
                <w:szCs w:val="28"/>
                <w:lang w:val="nl-NL"/>
              </w:rPr>
              <w:t>20</w:t>
            </w:r>
          </w:p>
        </w:tc>
      </w:tr>
    </w:tbl>
    <w:p w:rsidR="0002653C" w:rsidRPr="00684DC3" w:rsidRDefault="0002653C" w:rsidP="00AF7085">
      <w:pPr>
        <w:spacing w:after="0" w:line="240" w:lineRule="auto"/>
        <w:rPr>
          <w:rFonts w:ascii="Times New Roman" w:hAnsi="Times New Roman"/>
          <w:b/>
          <w:lang w:val="nl-NL"/>
        </w:rPr>
      </w:pPr>
    </w:p>
    <w:p w:rsidR="0002653C" w:rsidRDefault="00DB40DB" w:rsidP="00AF7085">
      <w:pPr>
        <w:spacing w:after="0" w:line="240" w:lineRule="auto"/>
        <w:rPr>
          <w:rFonts w:ascii="Times New Roman" w:hAnsi="Times New Roman"/>
          <w:b/>
          <w:sz w:val="28"/>
          <w:szCs w:val="28"/>
          <w:lang w:val="nl-NL"/>
        </w:rPr>
      </w:pPr>
      <w:r>
        <w:rPr>
          <w:rFonts w:ascii="Times New Roman" w:hAnsi="Times New Roman"/>
          <w:b/>
          <w:sz w:val="28"/>
          <w:szCs w:val="28"/>
          <w:lang w:val="nl-NL"/>
        </w:rPr>
        <w:t>DỰ THẢO</w:t>
      </w:r>
    </w:p>
    <w:p w:rsidR="00DB40DB" w:rsidRDefault="00DB40DB" w:rsidP="00AF7085">
      <w:pPr>
        <w:spacing w:after="0" w:line="240" w:lineRule="auto"/>
        <w:rPr>
          <w:rFonts w:ascii="Times New Roman" w:hAnsi="Times New Roman"/>
          <w:b/>
          <w:sz w:val="28"/>
          <w:szCs w:val="28"/>
          <w:lang w:val="nl-NL"/>
        </w:rPr>
      </w:pPr>
    </w:p>
    <w:p w:rsidR="00DB40DB" w:rsidRDefault="00DB40DB" w:rsidP="00AF7085">
      <w:pPr>
        <w:spacing w:after="0" w:line="240" w:lineRule="auto"/>
        <w:rPr>
          <w:rFonts w:ascii="Times New Roman" w:hAnsi="Times New Roman"/>
          <w:b/>
          <w:sz w:val="28"/>
          <w:szCs w:val="28"/>
          <w:lang w:val="nl-NL"/>
        </w:rPr>
      </w:pPr>
    </w:p>
    <w:p w:rsidR="0002653C" w:rsidRPr="00684DC3" w:rsidRDefault="0002653C" w:rsidP="001645C8">
      <w:pPr>
        <w:spacing w:after="0" w:line="240" w:lineRule="auto"/>
        <w:jc w:val="center"/>
        <w:rPr>
          <w:rFonts w:ascii="Times New Roman" w:hAnsi="Times New Roman"/>
          <w:b/>
          <w:sz w:val="28"/>
          <w:szCs w:val="28"/>
          <w:lang w:val="nl-NL"/>
        </w:rPr>
      </w:pPr>
      <w:r w:rsidRPr="00684DC3">
        <w:rPr>
          <w:rFonts w:ascii="Times New Roman" w:hAnsi="Times New Roman"/>
          <w:b/>
          <w:sz w:val="28"/>
          <w:szCs w:val="28"/>
          <w:lang w:val="nl-NL"/>
        </w:rPr>
        <w:t xml:space="preserve">TỜ TRÌNH </w:t>
      </w:r>
    </w:p>
    <w:p w:rsidR="00926BB2" w:rsidRDefault="0002653C" w:rsidP="00926BB2">
      <w:pPr>
        <w:spacing w:after="0" w:line="240" w:lineRule="auto"/>
        <w:jc w:val="center"/>
        <w:rPr>
          <w:rFonts w:ascii="Times New Roman" w:hAnsi="Times New Roman"/>
          <w:b/>
          <w:sz w:val="28"/>
          <w:szCs w:val="28"/>
          <w:lang w:val="nl-NL"/>
        </w:rPr>
      </w:pPr>
      <w:r w:rsidRPr="005A79EA">
        <w:rPr>
          <w:rFonts w:ascii="Times New Roman" w:hAnsi="Times New Roman"/>
          <w:b/>
          <w:sz w:val="28"/>
          <w:szCs w:val="28"/>
          <w:lang w:val="nl-NL"/>
        </w:rPr>
        <w:t xml:space="preserve">Về việc ban hành Quyết định của Thủ tướng Chính phủ hướng dẫn </w:t>
      </w:r>
    </w:p>
    <w:p w:rsidR="00392082" w:rsidRDefault="0002653C" w:rsidP="00926BB2">
      <w:pPr>
        <w:spacing w:after="0" w:line="240" w:lineRule="auto"/>
        <w:jc w:val="center"/>
        <w:rPr>
          <w:rFonts w:ascii="Times New Roman" w:hAnsi="Times New Roman"/>
          <w:b/>
          <w:sz w:val="28"/>
          <w:szCs w:val="28"/>
          <w:lang w:val="nl-NL"/>
        </w:rPr>
      </w:pPr>
      <w:r w:rsidRPr="005A79EA">
        <w:rPr>
          <w:rFonts w:ascii="Times New Roman" w:hAnsi="Times New Roman"/>
          <w:b/>
          <w:sz w:val="28"/>
          <w:szCs w:val="28"/>
          <w:lang w:val="nl-NL"/>
        </w:rPr>
        <w:t>việc bàn giao</w:t>
      </w:r>
      <w:r w:rsidR="00926BB2">
        <w:rPr>
          <w:rFonts w:ascii="Times New Roman" w:hAnsi="Times New Roman"/>
          <w:b/>
          <w:sz w:val="28"/>
          <w:szCs w:val="28"/>
          <w:lang w:val="nl-NL"/>
        </w:rPr>
        <w:t xml:space="preserve">, tiếp nhận vốn, tài sản và hoàn trả vốn đối với các dự án </w:t>
      </w:r>
    </w:p>
    <w:p w:rsidR="00392082" w:rsidRDefault="000C3774" w:rsidP="00926BB2">
      <w:pPr>
        <w:spacing w:after="0" w:line="240" w:lineRule="auto"/>
        <w:jc w:val="center"/>
        <w:rPr>
          <w:rFonts w:ascii="Times New Roman" w:hAnsi="Times New Roman"/>
          <w:b/>
          <w:sz w:val="28"/>
          <w:szCs w:val="28"/>
          <w:lang w:val="nl-NL"/>
        </w:rPr>
      </w:pPr>
      <w:r>
        <w:rPr>
          <w:rFonts w:ascii="Times New Roman" w:hAnsi="Times New Roman"/>
          <w:b/>
          <w:sz w:val="28"/>
          <w:szCs w:val="28"/>
          <w:lang w:val="nl-NL"/>
        </w:rPr>
        <w:t>thành phần thuộc Chương trình cấp điện nông thôn, miền núi và hải đảo</w:t>
      </w:r>
    </w:p>
    <w:p w:rsidR="0002653C" w:rsidRPr="00684DC3" w:rsidRDefault="000C3774" w:rsidP="00926BB2">
      <w:pPr>
        <w:spacing w:after="0" w:line="240" w:lineRule="auto"/>
        <w:jc w:val="center"/>
        <w:rPr>
          <w:rFonts w:ascii="Times New Roman" w:hAnsi="Times New Roman"/>
          <w:b/>
          <w:sz w:val="28"/>
          <w:szCs w:val="28"/>
          <w:lang w:val="nl-NL"/>
        </w:rPr>
      </w:pPr>
      <w:r>
        <w:rPr>
          <w:rFonts w:ascii="Times New Roman" w:hAnsi="Times New Roman"/>
          <w:b/>
          <w:sz w:val="28"/>
          <w:szCs w:val="28"/>
          <w:lang w:val="nl-NL"/>
        </w:rPr>
        <w:t xml:space="preserve"> giai đoạn 2013 - 2020</w:t>
      </w:r>
      <w:r w:rsidR="0002653C" w:rsidRPr="005A79EA">
        <w:rPr>
          <w:rFonts w:ascii="Times New Roman" w:hAnsi="Times New Roman"/>
          <w:b/>
          <w:sz w:val="28"/>
          <w:szCs w:val="28"/>
          <w:lang w:val="nl-NL"/>
        </w:rPr>
        <w:t xml:space="preserve"> </w:t>
      </w:r>
    </w:p>
    <w:p w:rsidR="0002653C" w:rsidRPr="00684DC3" w:rsidRDefault="0033545C" w:rsidP="001645C8">
      <w:pPr>
        <w:spacing w:after="0" w:line="240" w:lineRule="auto"/>
        <w:ind w:firstLine="720"/>
        <w:jc w:val="both"/>
        <w:rPr>
          <w:rFonts w:ascii="Times New Roman" w:hAnsi="Times New Roman"/>
        </w:rPr>
      </w:pPr>
      <w:r>
        <w:rPr>
          <w:rFonts w:ascii="Times New Roman" w:hAnsi="Times New Roman"/>
        </w:rPr>
      </w:r>
      <w:r>
        <w:rPr>
          <w:rFonts w:ascii="Times New Roman" w:hAnsi="Times New Roman"/>
        </w:rPr>
        <w:pict>
          <v:group id="_x0000_s1026" editas="canvas" style="width:371.6pt;height:9.75pt;mso-position-horizontal-relative:char;mso-position-vertical-relative:line" coordorigin=",-1" coordsize="9108,23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top:-1;width:9108;height:239" o:preferrelative="f">
              <v:fill o:detectmouseclick="t"/>
              <v:path o:extrusionok="t" o:connecttype="none"/>
              <o:lock v:ext="edit" text="t"/>
            </v:shape>
            <v:line id="_x0000_s1028" style="position:absolute" from="3499,96" to="5995,97"/>
            <w10:wrap type="none"/>
            <w10:anchorlock/>
          </v:group>
        </w:pict>
      </w:r>
    </w:p>
    <w:p w:rsidR="00355EA0" w:rsidRDefault="00355EA0" w:rsidP="001645C8">
      <w:pPr>
        <w:spacing w:after="0" w:line="240" w:lineRule="auto"/>
        <w:jc w:val="center"/>
        <w:rPr>
          <w:rFonts w:ascii="Times New Roman" w:hAnsi="Times New Roman"/>
          <w:sz w:val="28"/>
          <w:szCs w:val="28"/>
          <w:lang w:val="en-US"/>
        </w:rPr>
      </w:pPr>
    </w:p>
    <w:p w:rsidR="0002653C" w:rsidRPr="005A79EA" w:rsidRDefault="0002653C" w:rsidP="001645C8">
      <w:pPr>
        <w:spacing w:after="0" w:line="240" w:lineRule="auto"/>
        <w:jc w:val="center"/>
        <w:rPr>
          <w:rFonts w:ascii="Times New Roman" w:hAnsi="Times New Roman"/>
          <w:sz w:val="28"/>
          <w:szCs w:val="28"/>
        </w:rPr>
      </w:pPr>
      <w:r w:rsidRPr="005A79EA">
        <w:rPr>
          <w:rFonts w:ascii="Times New Roman" w:hAnsi="Times New Roman"/>
          <w:sz w:val="28"/>
          <w:szCs w:val="28"/>
        </w:rPr>
        <w:t xml:space="preserve">Kính gửi: </w:t>
      </w:r>
      <w:r w:rsidRPr="00AF7085">
        <w:rPr>
          <w:rFonts w:ascii="Times New Roman" w:hAnsi="Times New Roman"/>
          <w:sz w:val="28"/>
          <w:szCs w:val="28"/>
        </w:rPr>
        <w:t xml:space="preserve">Thủ tướng </w:t>
      </w:r>
      <w:r w:rsidRPr="005A79EA">
        <w:rPr>
          <w:rFonts w:ascii="Times New Roman" w:hAnsi="Times New Roman"/>
          <w:sz w:val="28"/>
          <w:szCs w:val="28"/>
        </w:rPr>
        <w:t>Chính phủ</w:t>
      </w:r>
    </w:p>
    <w:p w:rsidR="0002653C" w:rsidRDefault="0002653C" w:rsidP="001645C8">
      <w:pPr>
        <w:spacing w:after="0" w:line="240" w:lineRule="auto"/>
        <w:ind w:firstLine="567"/>
        <w:jc w:val="both"/>
        <w:rPr>
          <w:rFonts w:ascii="Times New Roman" w:hAnsi="Times New Roman"/>
          <w:sz w:val="28"/>
          <w:szCs w:val="28"/>
          <w:lang w:val="en-US"/>
        </w:rPr>
      </w:pPr>
    </w:p>
    <w:p w:rsidR="00355EA0" w:rsidRDefault="00355EA0" w:rsidP="001645C8">
      <w:pPr>
        <w:spacing w:after="0" w:line="240" w:lineRule="auto"/>
        <w:ind w:firstLine="567"/>
        <w:jc w:val="both"/>
        <w:rPr>
          <w:rFonts w:ascii="Times New Roman" w:hAnsi="Times New Roman"/>
          <w:sz w:val="28"/>
          <w:szCs w:val="28"/>
          <w:lang w:val="en-US"/>
        </w:rPr>
      </w:pPr>
    </w:p>
    <w:p w:rsidR="00A25B34" w:rsidRDefault="00A25B34" w:rsidP="00A25B34">
      <w:pPr>
        <w:spacing w:after="0" w:line="240" w:lineRule="auto"/>
        <w:ind w:firstLine="720"/>
        <w:jc w:val="both"/>
        <w:rPr>
          <w:rFonts w:ascii="Times New Roman" w:hAnsi="Times New Roman"/>
          <w:sz w:val="28"/>
          <w:szCs w:val="28"/>
          <w:lang w:val="en-US"/>
        </w:rPr>
      </w:pPr>
      <w:r>
        <w:rPr>
          <w:rFonts w:ascii="Times New Roman" w:hAnsi="Times New Roman"/>
          <w:sz w:val="28"/>
          <w:szCs w:val="28"/>
          <w:lang w:val="en-US"/>
        </w:rPr>
        <w:t xml:space="preserve">Nhằm tạo điều kiện cho người dân khu vực nông thôn, vùng sâu, vùng xa, vùng đồng bào dân tộc ít người, vùng có điều kiện kinh tế - xã hội đặc biệt khó khăn được sử dụng điện để sản xuất và phục vụ đời sống, thực hiện mục tiêu xóa </w:t>
      </w:r>
      <w:proofErr w:type="gramStart"/>
      <w:r>
        <w:rPr>
          <w:rFonts w:ascii="Times New Roman" w:hAnsi="Times New Roman"/>
          <w:sz w:val="28"/>
          <w:szCs w:val="28"/>
          <w:lang w:val="en-US"/>
        </w:rPr>
        <w:t>đói</w:t>
      </w:r>
      <w:proofErr w:type="gramEnd"/>
      <w:r>
        <w:rPr>
          <w:rFonts w:ascii="Times New Roman" w:hAnsi="Times New Roman"/>
          <w:sz w:val="28"/>
          <w:szCs w:val="28"/>
          <w:lang w:val="en-US"/>
        </w:rPr>
        <w:t>, giảm nghèo, Thủ tướng Chính phủ đã ban hành Quyết định số 2081/QĐ-TTg ngày 08/11/2013 và Quyết định số 1740/QĐ-TTg ngày 13/12/2018 phê duyệt Chương trình cấp điện nông thôn, miền núi và hải đảo giai đoạn 2013 - 2020.</w:t>
      </w:r>
    </w:p>
    <w:p w:rsidR="00A25B34" w:rsidRPr="00355EA0" w:rsidRDefault="00A25B34" w:rsidP="001645C8">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ab/>
        <w:t>Căn cứ nhiệm vụ được Thủ tướng Chính phủ giao cho Bộ Tài chính “Chủ trì, phối hợp với các Bộ, cơ quan liên quan hướng dẫn việc bàn giao, tiếp nhận vốn, tài sản và hoàn trả vốn đối với các dự án cấp điện nông thôn, miền núi và hải đảo”, Bộ Tài chính báo cáo Thủ tướng Chính phủ như sau:</w:t>
      </w:r>
    </w:p>
    <w:p w:rsidR="0002653C" w:rsidRPr="0023425B" w:rsidRDefault="0002653C" w:rsidP="0023425B">
      <w:pPr>
        <w:spacing w:before="120" w:after="120" w:line="240" w:lineRule="auto"/>
        <w:ind w:firstLine="720"/>
        <w:jc w:val="both"/>
        <w:rPr>
          <w:rFonts w:ascii="Times New Roman" w:hAnsi="Times New Roman"/>
          <w:b/>
          <w:sz w:val="28"/>
          <w:szCs w:val="28"/>
          <w:lang w:val="nl-NL"/>
        </w:rPr>
      </w:pPr>
      <w:r w:rsidRPr="0023425B">
        <w:rPr>
          <w:rFonts w:ascii="Times New Roman" w:hAnsi="Times New Roman"/>
          <w:b/>
          <w:sz w:val="28"/>
          <w:szCs w:val="28"/>
          <w:lang w:val="nl-NL"/>
        </w:rPr>
        <w:t xml:space="preserve">I.  Về sự cần thiết, cơ sở pháp lý  ban hành Quyết định của Thủ tướng Chính phủ hướng dẫn </w:t>
      </w:r>
      <w:r w:rsidR="000C3774" w:rsidRPr="0023425B">
        <w:rPr>
          <w:rFonts w:ascii="Times New Roman" w:hAnsi="Times New Roman"/>
          <w:b/>
          <w:sz w:val="28"/>
          <w:szCs w:val="28"/>
          <w:lang w:val="nl-NL"/>
        </w:rPr>
        <w:t xml:space="preserve">việc bàn giao, tiếp nhận vốn, tài sản và hoàn trả vốn đối với các dự án thành phần thuộc Chương trình cấp điện nông thôn, miền núi và hải đảo giai đoạn 2013 - 2020 </w:t>
      </w:r>
    </w:p>
    <w:p w:rsidR="0002653C" w:rsidRPr="0023425B" w:rsidRDefault="0002653C" w:rsidP="0023425B">
      <w:pPr>
        <w:spacing w:before="120" w:after="120" w:line="240" w:lineRule="auto"/>
        <w:ind w:firstLine="720"/>
        <w:jc w:val="both"/>
        <w:rPr>
          <w:rFonts w:ascii="Times New Roman" w:hAnsi="Times New Roman"/>
          <w:sz w:val="28"/>
          <w:szCs w:val="28"/>
          <w:lang w:val="nl-NL"/>
        </w:rPr>
      </w:pPr>
      <w:r w:rsidRPr="0023425B">
        <w:rPr>
          <w:rFonts w:ascii="Times New Roman" w:hAnsi="Times New Roman"/>
          <w:sz w:val="28"/>
          <w:szCs w:val="28"/>
          <w:lang w:val="nl-NL"/>
        </w:rPr>
        <w:t xml:space="preserve">1. Ngày 08/11/2013 Thủ tướng Chính phủ ban hành Quyết định số 2081/QĐ-TTg phê duyệt Chương trình cấp điện nông thôn, miền núi và hải đảo giai đoạn 2013 </w:t>
      </w:r>
      <w:r w:rsidR="00A25B34">
        <w:rPr>
          <w:rFonts w:ascii="Times New Roman" w:hAnsi="Times New Roman"/>
          <w:sz w:val="28"/>
          <w:szCs w:val="28"/>
          <w:lang w:val="nl-NL"/>
        </w:rPr>
        <w:t>-</w:t>
      </w:r>
      <w:r w:rsidRPr="0023425B">
        <w:rPr>
          <w:rFonts w:ascii="Times New Roman" w:hAnsi="Times New Roman"/>
          <w:sz w:val="28"/>
          <w:szCs w:val="28"/>
          <w:lang w:val="nl-NL"/>
        </w:rPr>
        <w:t xml:space="preserve"> 2020</w:t>
      </w:r>
      <w:r w:rsidR="00A25B34">
        <w:rPr>
          <w:rFonts w:ascii="Times New Roman" w:hAnsi="Times New Roman"/>
          <w:sz w:val="28"/>
          <w:szCs w:val="28"/>
          <w:lang w:val="nl-NL"/>
        </w:rPr>
        <w:t xml:space="preserve"> (Quyết định số 2081/QĐ-TTg)</w:t>
      </w:r>
      <w:r w:rsidRPr="0023425B">
        <w:rPr>
          <w:rFonts w:ascii="Times New Roman" w:hAnsi="Times New Roman"/>
          <w:sz w:val="28"/>
          <w:szCs w:val="28"/>
          <w:lang w:val="nl-NL"/>
        </w:rPr>
        <w:t>, trong đó:</w:t>
      </w:r>
    </w:p>
    <w:p w:rsidR="0002653C" w:rsidRPr="0023425B" w:rsidRDefault="0002653C" w:rsidP="0023425B">
      <w:pPr>
        <w:spacing w:before="120" w:after="120" w:line="240" w:lineRule="auto"/>
        <w:jc w:val="both"/>
        <w:rPr>
          <w:rFonts w:ascii="Times New Roman" w:hAnsi="Times New Roman"/>
          <w:sz w:val="28"/>
          <w:szCs w:val="28"/>
          <w:lang w:val="nl-NL"/>
        </w:rPr>
      </w:pPr>
      <w:r w:rsidRPr="0023425B">
        <w:rPr>
          <w:rFonts w:ascii="Times New Roman" w:hAnsi="Times New Roman"/>
          <w:sz w:val="28"/>
          <w:szCs w:val="28"/>
          <w:lang w:val="nl-NL"/>
        </w:rPr>
        <w:tab/>
        <w:t>- Tại điểm d khoản 6 Điều 1 Quyết định số 2081/QĐ-TTg quy định: “</w:t>
      </w:r>
      <w:r w:rsidRPr="0023425B">
        <w:rPr>
          <w:rFonts w:ascii="Times New Roman" w:hAnsi="Times New Roman"/>
          <w:i/>
          <w:sz w:val="28"/>
          <w:szCs w:val="28"/>
          <w:lang w:val="nl-NL"/>
        </w:rPr>
        <w:t>Đối với các dự án đầu tư cấp điện từ lưới điện quốc gia: Giao Tập đoàn Điện lực Việt Nam tiếp nhận vốn, tài sản sau đầu tư, quản lý vận hành và bán điện đến hộ gia đình theo các quy định hiện hành.</w:t>
      </w:r>
      <w:r w:rsidRPr="0023425B">
        <w:rPr>
          <w:rFonts w:ascii="Times New Roman" w:hAnsi="Times New Roman"/>
          <w:sz w:val="28"/>
          <w:szCs w:val="28"/>
          <w:lang w:val="nl-NL"/>
        </w:rPr>
        <w:t>”</w:t>
      </w:r>
    </w:p>
    <w:p w:rsidR="0002653C" w:rsidRPr="0023425B" w:rsidRDefault="0002653C" w:rsidP="0023425B">
      <w:pPr>
        <w:spacing w:before="120" w:after="120" w:line="240" w:lineRule="auto"/>
        <w:jc w:val="both"/>
        <w:rPr>
          <w:rFonts w:ascii="Times New Roman" w:hAnsi="Times New Roman"/>
          <w:sz w:val="28"/>
          <w:szCs w:val="28"/>
          <w:lang w:val="nl-NL"/>
        </w:rPr>
      </w:pPr>
      <w:r w:rsidRPr="0023425B">
        <w:rPr>
          <w:rFonts w:ascii="Times New Roman" w:hAnsi="Times New Roman"/>
          <w:sz w:val="28"/>
          <w:szCs w:val="28"/>
          <w:lang w:val="nl-NL"/>
        </w:rPr>
        <w:tab/>
        <w:t>- Tại khoản 6 Điều 2 Quyết định số 2081/QĐ-TTg, Thủ tướng Chính phủ giao Tập đoàn Điện lực Việt Nam (EVN): “</w:t>
      </w:r>
      <w:r w:rsidRPr="0023425B">
        <w:rPr>
          <w:rFonts w:ascii="Times New Roman" w:hAnsi="Times New Roman"/>
          <w:i/>
          <w:sz w:val="28"/>
          <w:szCs w:val="28"/>
          <w:lang w:val="nl-NL"/>
        </w:rPr>
        <w:t xml:space="preserve">Đối với các dự án cấp điện nông thôn từ lưới điện quốc gia do Uỷ ban nhân dân (UBND) tỉnh làm chủ đầu tư: Thực hiện tiếp nhận, tổ chức quản lý vận hành, bán điện đến hộ dân sau khi các dự án </w:t>
      </w:r>
      <w:r w:rsidRPr="0023425B">
        <w:rPr>
          <w:rFonts w:ascii="Times New Roman" w:hAnsi="Times New Roman"/>
          <w:i/>
          <w:sz w:val="28"/>
          <w:szCs w:val="28"/>
          <w:lang w:val="nl-NL"/>
        </w:rPr>
        <w:lastRenderedPageBreak/>
        <w:t>thành phần được hoàn thành, đưa vào sử dụng; tổ chức tiếp nhận vốn, tài sản sau khi các dự án thành phần được quyết toán</w:t>
      </w:r>
      <w:r w:rsidRPr="0023425B">
        <w:rPr>
          <w:rFonts w:ascii="Times New Roman" w:hAnsi="Times New Roman"/>
          <w:sz w:val="28"/>
          <w:szCs w:val="28"/>
          <w:lang w:val="nl-NL"/>
        </w:rPr>
        <w:t>.”</w:t>
      </w:r>
    </w:p>
    <w:p w:rsidR="0002653C" w:rsidRDefault="0002653C" w:rsidP="0023425B">
      <w:pPr>
        <w:spacing w:before="120" w:after="120" w:line="240" w:lineRule="auto"/>
        <w:ind w:firstLine="720"/>
        <w:jc w:val="both"/>
        <w:rPr>
          <w:rFonts w:ascii="Times New Roman" w:hAnsi="Times New Roman"/>
          <w:sz w:val="28"/>
          <w:szCs w:val="28"/>
          <w:lang w:val="nl-NL"/>
        </w:rPr>
      </w:pPr>
      <w:r w:rsidRPr="0023425B">
        <w:rPr>
          <w:rFonts w:ascii="Times New Roman" w:hAnsi="Times New Roman"/>
          <w:sz w:val="28"/>
          <w:szCs w:val="28"/>
          <w:lang w:val="nl-NL"/>
        </w:rPr>
        <w:t>- Tại khoản 3 Điều 2 Quyết định số 2081/QĐ-TTg, Thủ tướng Chính phủ giao Bộ Tài chính: “</w:t>
      </w:r>
      <w:r w:rsidRPr="0023425B">
        <w:rPr>
          <w:rFonts w:ascii="Times New Roman" w:hAnsi="Times New Roman"/>
          <w:i/>
          <w:sz w:val="28"/>
          <w:szCs w:val="28"/>
          <w:lang w:val="nl-NL"/>
        </w:rPr>
        <w:t>Chủ trì, phối hợp với các Bộ, cơ quan liên quan hướng dẫn việc bàn giao, tiếp nhận vốn, tài sản và hoàn trả vốn đối với các dự án cấp điện nông thôn</w:t>
      </w:r>
      <w:r w:rsidRPr="0023425B">
        <w:rPr>
          <w:rFonts w:ascii="Times New Roman" w:hAnsi="Times New Roman"/>
          <w:sz w:val="28"/>
          <w:szCs w:val="28"/>
          <w:lang w:val="nl-NL"/>
        </w:rPr>
        <w:t>.”</w:t>
      </w:r>
    </w:p>
    <w:p w:rsidR="0002653C" w:rsidRPr="0023425B" w:rsidRDefault="000C3774" w:rsidP="00A25B34">
      <w:pPr>
        <w:spacing w:before="120" w:after="120" w:line="240" w:lineRule="auto"/>
        <w:ind w:firstLine="720"/>
        <w:jc w:val="both"/>
        <w:rPr>
          <w:rFonts w:ascii="Times New Roman" w:hAnsi="Times New Roman"/>
          <w:sz w:val="28"/>
          <w:szCs w:val="28"/>
          <w:lang w:val="nl-NL"/>
        </w:rPr>
      </w:pPr>
      <w:r w:rsidRPr="0023425B">
        <w:rPr>
          <w:rFonts w:ascii="Times New Roman" w:hAnsi="Times New Roman"/>
          <w:sz w:val="28"/>
          <w:szCs w:val="28"/>
          <w:lang w:val="nl-NL"/>
        </w:rPr>
        <w:t>2. Theo quy định của Luật ban hành văn bản quy phạm pháp luật năm 2015 thì Thông tư của Bộ trưởng không được quy định thủ tục hành chính, trong khi các nội dung hướng dẫn việc bàn giao dự án cấp điện nông thôn có phát sinh các thủ tục hành chính (Biên bản giao nhận, Hồ sơ tài sản bàn giao lập theo mẫu; trình tự, thủ tục tiến hành các công việc lập hồ sơ, trình cấp có thẩm quyền phê duyệt và thực hiện bàn giao...), do đó Bộ</w:t>
      </w:r>
      <w:r w:rsidR="00A25B34">
        <w:rPr>
          <w:rFonts w:ascii="Times New Roman" w:hAnsi="Times New Roman"/>
          <w:sz w:val="28"/>
          <w:szCs w:val="28"/>
          <w:lang w:val="nl-NL"/>
        </w:rPr>
        <w:t xml:space="preserve"> Tài chính </w:t>
      </w:r>
      <w:r w:rsidR="0023425B" w:rsidRPr="0023425B">
        <w:rPr>
          <w:rFonts w:ascii="Times New Roman" w:hAnsi="Times New Roman"/>
          <w:sz w:val="28"/>
          <w:szCs w:val="28"/>
          <w:lang w:val="nl-NL"/>
        </w:rPr>
        <w:t xml:space="preserve">đã </w:t>
      </w:r>
      <w:r w:rsidR="0002653C" w:rsidRPr="0023425B">
        <w:rPr>
          <w:rFonts w:ascii="Times New Roman" w:hAnsi="Times New Roman"/>
          <w:sz w:val="28"/>
          <w:szCs w:val="28"/>
          <w:lang w:val="nl-NL"/>
        </w:rPr>
        <w:t xml:space="preserve">có công văn số 678/BTC-TCDN </w:t>
      </w:r>
      <w:r w:rsidR="00A25B34">
        <w:rPr>
          <w:rFonts w:ascii="Times New Roman" w:hAnsi="Times New Roman"/>
          <w:sz w:val="28"/>
          <w:szCs w:val="28"/>
          <w:lang w:val="nl-NL"/>
        </w:rPr>
        <w:t xml:space="preserve">ngày 17/01/2018 </w:t>
      </w:r>
      <w:r w:rsidR="0002653C" w:rsidRPr="0023425B">
        <w:rPr>
          <w:rFonts w:ascii="Times New Roman" w:hAnsi="Times New Roman"/>
          <w:sz w:val="28"/>
          <w:szCs w:val="28"/>
          <w:lang w:val="nl-NL"/>
        </w:rPr>
        <w:t xml:space="preserve">gửi Thủ tướng Chính phủ xin ý kiến </w:t>
      </w:r>
      <w:r w:rsidR="0023425B" w:rsidRPr="0023425B">
        <w:rPr>
          <w:rFonts w:ascii="Times New Roman" w:hAnsi="Times New Roman"/>
          <w:sz w:val="28"/>
          <w:szCs w:val="28"/>
          <w:lang w:val="nl-NL"/>
        </w:rPr>
        <w:t xml:space="preserve">về việc </w:t>
      </w:r>
      <w:r w:rsidR="0002653C" w:rsidRPr="0023425B">
        <w:rPr>
          <w:rFonts w:ascii="Times New Roman" w:hAnsi="Times New Roman"/>
          <w:sz w:val="28"/>
          <w:szCs w:val="28"/>
          <w:lang w:val="nl-NL"/>
        </w:rPr>
        <w:t xml:space="preserve">xây dựng Quyết định của Thủ tướng Chính phủ hướng dẫn việc bàn giao, tiếp nhận vốn, tài sản, hoàn trả vốn đối với các dự án cấp điện nông thôn. </w:t>
      </w:r>
      <w:r w:rsidR="00A25B34">
        <w:rPr>
          <w:rFonts w:ascii="Times New Roman" w:hAnsi="Times New Roman"/>
          <w:sz w:val="28"/>
          <w:szCs w:val="28"/>
          <w:lang w:val="nl-NL"/>
        </w:rPr>
        <w:t>T</w:t>
      </w:r>
      <w:r w:rsidR="0023425B" w:rsidRPr="0023425B">
        <w:rPr>
          <w:rFonts w:ascii="Times New Roman" w:hAnsi="Times New Roman"/>
          <w:sz w:val="28"/>
          <w:szCs w:val="28"/>
          <w:lang w:val="nl-NL"/>
        </w:rPr>
        <w:t>ại văn bản số 2302/VPCP-KTTH ngày 13/03/2018 của Văn phòng Chính phủ, Phó Thủ tướng Chính phủ Vương Đình Huệ đã có ý kiến: “</w:t>
      </w:r>
      <w:r w:rsidR="0023425B" w:rsidRPr="0023425B">
        <w:rPr>
          <w:rFonts w:ascii="Times New Roman" w:hAnsi="Times New Roman"/>
          <w:i/>
          <w:sz w:val="28"/>
          <w:szCs w:val="28"/>
          <w:lang w:val="nl-NL"/>
        </w:rPr>
        <w:t>Giao Bộ Tài chính chủ trì, phối hợp với Bộ Tư pháp và các cơ quan liên quan xây dựng dự thảo Quyết định của Thủ tướng Chính phủ hướng dẫn việc bàn giao, tiếp nhận vốn, tài sản và hoàn trả vốn đối với các dự án cấp điện nông thôn trình Thủ tướng Chính phủ theo đúng quy định của Luật ban hành văn bản quy phạm pháp luật và Nghị định hướng dẫn thi hành</w:t>
      </w:r>
      <w:r w:rsidR="0023425B" w:rsidRPr="0023425B">
        <w:rPr>
          <w:rFonts w:ascii="Times New Roman" w:hAnsi="Times New Roman"/>
          <w:sz w:val="28"/>
          <w:szCs w:val="28"/>
          <w:lang w:val="nl-NL"/>
        </w:rPr>
        <w:t>.”</w:t>
      </w:r>
    </w:p>
    <w:p w:rsidR="0023425B" w:rsidRPr="0023425B" w:rsidRDefault="0023425B" w:rsidP="0023425B">
      <w:pPr>
        <w:spacing w:before="120" w:after="120" w:line="240" w:lineRule="auto"/>
        <w:ind w:firstLine="720"/>
        <w:jc w:val="both"/>
        <w:rPr>
          <w:rFonts w:ascii="Times New Roman" w:hAnsi="Times New Roman"/>
          <w:sz w:val="28"/>
          <w:szCs w:val="28"/>
          <w:lang w:val="nl-NL"/>
        </w:rPr>
      </w:pPr>
      <w:r w:rsidRPr="0023425B">
        <w:rPr>
          <w:rFonts w:ascii="Times New Roman" w:hAnsi="Times New Roman"/>
          <w:sz w:val="28"/>
          <w:szCs w:val="28"/>
          <w:lang w:val="nl-NL"/>
        </w:rPr>
        <w:t xml:space="preserve">3. Ngày 13/12/2018, Thủ tướng Chính phủ tiếp tục ban hành Quyết định số 1740/QĐ-TTg phê duyệt Chương trình mục tiêu cấp điện nông thôn, miền núi và hải đảo giai đoạn 2016 </w:t>
      </w:r>
      <w:r w:rsidR="00A25B34">
        <w:rPr>
          <w:rFonts w:ascii="Times New Roman" w:hAnsi="Times New Roman"/>
          <w:sz w:val="28"/>
          <w:szCs w:val="28"/>
          <w:lang w:val="nl-NL"/>
        </w:rPr>
        <w:t>-</w:t>
      </w:r>
      <w:r w:rsidRPr="0023425B">
        <w:rPr>
          <w:rFonts w:ascii="Times New Roman" w:hAnsi="Times New Roman"/>
          <w:sz w:val="28"/>
          <w:szCs w:val="28"/>
          <w:lang w:val="nl-NL"/>
        </w:rPr>
        <w:t xml:space="preserve"> 2020</w:t>
      </w:r>
      <w:r w:rsidR="00A25B34">
        <w:rPr>
          <w:rFonts w:ascii="Times New Roman" w:hAnsi="Times New Roman"/>
          <w:sz w:val="28"/>
          <w:szCs w:val="28"/>
          <w:lang w:val="nl-NL"/>
        </w:rPr>
        <w:t xml:space="preserve"> (Quyết định số 1740/QĐ-TTg)</w:t>
      </w:r>
      <w:r w:rsidRPr="0023425B">
        <w:rPr>
          <w:rFonts w:ascii="Times New Roman" w:hAnsi="Times New Roman"/>
          <w:sz w:val="28"/>
          <w:szCs w:val="28"/>
          <w:lang w:val="nl-NL"/>
        </w:rPr>
        <w:t>. Trong đó:</w:t>
      </w:r>
    </w:p>
    <w:p w:rsidR="0023425B" w:rsidRPr="0023425B" w:rsidRDefault="0023425B" w:rsidP="0023425B">
      <w:pPr>
        <w:spacing w:before="120" w:after="120" w:line="240" w:lineRule="auto"/>
        <w:ind w:firstLine="720"/>
        <w:jc w:val="both"/>
        <w:rPr>
          <w:rFonts w:ascii="Times New Roman" w:hAnsi="Times New Roman"/>
          <w:sz w:val="28"/>
          <w:szCs w:val="28"/>
          <w:lang w:val="nl-NL"/>
        </w:rPr>
      </w:pPr>
      <w:r w:rsidRPr="0023425B">
        <w:rPr>
          <w:rFonts w:ascii="Times New Roman" w:hAnsi="Times New Roman"/>
          <w:sz w:val="28"/>
          <w:szCs w:val="28"/>
          <w:lang w:val="nl-NL"/>
        </w:rPr>
        <w:t>- Tại khoản 3 Điều 1 Quyết định số 1740/QĐ-TTg có nêu phạm vi của Chương trình:</w:t>
      </w:r>
    </w:p>
    <w:p w:rsidR="0023425B" w:rsidRPr="0023425B" w:rsidRDefault="0023425B" w:rsidP="0023425B">
      <w:pPr>
        <w:pStyle w:val="NormalWeb"/>
        <w:shd w:val="clear" w:color="auto" w:fill="FFFFFF"/>
        <w:spacing w:before="120" w:beforeAutospacing="0" w:after="120" w:afterAutospacing="0"/>
        <w:ind w:firstLine="720"/>
        <w:jc w:val="both"/>
        <w:rPr>
          <w:i/>
          <w:color w:val="000000"/>
          <w:sz w:val="28"/>
          <w:szCs w:val="28"/>
          <w:lang w:val="nl-NL"/>
        </w:rPr>
      </w:pPr>
      <w:r w:rsidRPr="0023425B">
        <w:rPr>
          <w:i/>
          <w:sz w:val="28"/>
          <w:szCs w:val="28"/>
          <w:lang w:val="nl-NL"/>
        </w:rPr>
        <w:t>“</w:t>
      </w:r>
      <w:r w:rsidRPr="0023425B">
        <w:rPr>
          <w:i/>
          <w:color w:val="000000"/>
          <w:sz w:val="28"/>
          <w:szCs w:val="28"/>
          <w:lang w:val="nl-NL"/>
        </w:rPr>
        <w:t xml:space="preserve">Thực hiện trên địa bàn 48 tỉnh, thành phố trực thuộc trung ương theo </w:t>
      </w:r>
      <w:r w:rsidRPr="0023425B">
        <w:rPr>
          <w:i/>
          <w:color w:val="000000"/>
          <w:sz w:val="28"/>
          <w:szCs w:val="28"/>
          <w:u w:val="single"/>
          <w:lang w:val="nl-NL"/>
        </w:rPr>
        <w:t>Quyết định số</w:t>
      </w:r>
      <w:r w:rsidRPr="0023425B">
        <w:rPr>
          <w:rStyle w:val="apple-converted-space"/>
          <w:i/>
          <w:color w:val="000000"/>
          <w:sz w:val="28"/>
          <w:szCs w:val="28"/>
          <w:u w:val="single"/>
          <w:lang w:val="nl-NL"/>
        </w:rPr>
        <w:t> </w:t>
      </w:r>
      <w:hyperlink r:id="rId7" w:tgtFrame="_blank" w:tooltip="Quyết định 2081/QĐ-TTg" w:history="1">
        <w:r w:rsidRPr="0023425B">
          <w:rPr>
            <w:rStyle w:val="Hyperlink"/>
            <w:i/>
            <w:color w:val="000000" w:themeColor="text1"/>
            <w:sz w:val="28"/>
            <w:szCs w:val="28"/>
            <w:lang w:val="nl-NL"/>
          </w:rPr>
          <w:t>2081/QĐ-TTg</w:t>
        </w:r>
      </w:hyperlink>
      <w:r w:rsidRPr="0023425B">
        <w:rPr>
          <w:i/>
          <w:color w:val="000000"/>
          <w:sz w:val="28"/>
          <w:szCs w:val="28"/>
          <w:lang w:val="nl-NL"/>
        </w:rPr>
        <w:t xml:space="preserve"> ngày 08 tháng 11 năm 2013 của Thủ tướng Chính phủ, trọng tâm là khu vực nông thôn miền núi, vùng sâu, vùng xa, biên giới và hải đảo, vùng đồng bào dân tộc ít người, vùng có điều kiện kinh tế - xã hội đặc biệt khó khăn.</w:t>
      </w:r>
    </w:p>
    <w:p w:rsidR="0023425B" w:rsidRPr="0023425B" w:rsidRDefault="0023425B" w:rsidP="0023425B">
      <w:pPr>
        <w:pStyle w:val="NormalWeb"/>
        <w:shd w:val="clear" w:color="auto" w:fill="FFFFFF"/>
        <w:spacing w:before="120" w:beforeAutospacing="0" w:after="120" w:afterAutospacing="0"/>
        <w:ind w:firstLine="720"/>
        <w:jc w:val="both"/>
        <w:rPr>
          <w:i/>
          <w:color w:val="000000"/>
          <w:sz w:val="28"/>
          <w:szCs w:val="28"/>
          <w:lang w:val="nl-NL"/>
        </w:rPr>
      </w:pPr>
      <w:r w:rsidRPr="0023425B">
        <w:rPr>
          <w:i/>
          <w:color w:val="000000"/>
          <w:sz w:val="28"/>
          <w:szCs w:val="28"/>
          <w:lang w:val="nl-NL"/>
        </w:rPr>
        <w:t>Thực hiện việc cấp điện cho các trạm bơm quy mô vừa và nhỏ, kết hợp với việc cấp điện cho các hộ dân nông thôn và các vùng nuôi trồng thủy sản tại 13 tỉnh khu vực đồng bằng sông Cửu Long.</w:t>
      </w:r>
    </w:p>
    <w:p w:rsidR="0023425B" w:rsidRPr="0023425B" w:rsidRDefault="0023425B" w:rsidP="0023425B">
      <w:pPr>
        <w:pStyle w:val="NormalWeb"/>
        <w:shd w:val="clear" w:color="auto" w:fill="FFFFFF"/>
        <w:spacing w:before="120" w:beforeAutospacing="0" w:after="120" w:afterAutospacing="0"/>
        <w:ind w:firstLine="720"/>
        <w:jc w:val="both"/>
        <w:rPr>
          <w:i/>
          <w:color w:val="000000"/>
          <w:sz w:val="28"/>
          <w:szCs w:val="28"/>
          <w:lang w:val="nl-NL"/>
        </w:rPr>
      </w:pPr>
      <w:r w:rsidRPr="0023425B">
        <w:rPr>
          <w:i/>
          <w:color w:val="000000"/>
          <w:sz w:val="28"/>
          <w:szCs w:val="28"/>
          <w:lang w:val="nl-NL"/>
        </w:rPr>
        <w:t>Cấp điện lưới quốc gia hoặc các nguồn điện năng lượng tái tạo cho các đảo tiền tiêu, trọng yếu về quốc phòng, an ninh chủ quyền biển đảo của Tổ quốc, đồng thời tạo động lực cho việc phát triển kinh tế, xã hội trên các đảo.”</w:t>
      </w:r>
    </w:p>
    <w:p w:rsidR="0023425B" w:rsidRPr="0023425B" w:rsidRDefault="0023425B" w:rsidP="0023425B">
      <w:pPr>
        <w:spacing w:before="120" w:after="120" w:line="240" w:lineRule="auto"/>
        <w:ind w:firstLine="720"/>
        <w:jc w:val="both"/>
        <w:rPr>
          <w:rFonts w:ascii="Times New Roman" w:hAnsi="Times New Roman"/>
          <w:i/>
          <w:sz w:val="28"/>
          <w:szCs w:val="28"/>
        </w:rPr>
      </w:pPr>
      <w:r w:rsidRPr="0023425B">
        <w:rPr>
          <w:rFonts w:ascii="Times New Roman" w:hAnsi="Times New Roman"/>
          <w:sz w:val="28"/>
          <w:szCs w:val="28"/>
        </w:rPr>
        <w:t xml:space="preserve">- Tại điểm b khoản 6 Điều 1 Quyết định số 1740/QĐ-TTg có nêu về công tác quản lý vận hành sau đầu tư: </w:t>
      </w:r>
      <w:r w:rsidRPr="0023425B">
        <w:rPr>
          <w:rFonts w:ascii="Times New Roman" w:hAnsi="Times New Roman"/>
          <w:i/>
          <w:sz w:val="28"/>
          <w:szCs w:val="28"/>
        </w:rPr>
        <w:t>“</w:t>
      </w:r>
      <w:r w:rsidRPr="0023425B">
        <w:rPr>
          <w:rFonts w:ascii="Times New Roman" w:hAnsi="Times New Roman"/>
          <w:i/>
          <w:color w:val="000000"/>
          <w:sz w:val="28"/>
          <w:szCs w:val="28"/>
          <w:shd w:val="clear" w:color="auto" w:fill="FFFFFF"/>
        </w:rPr>
        <w:t xml:space="preserve">Đối với các dự án cấp điện từ lưới điện quốc gia do các địa phương thực hiện: sau khi hoàn thành, giao EVN chỉ đạo các công ty điện lực thành viên tiếp nhận vốn, tài sản sau đầu tư, quản lý vận hành và bán </w:t>
      </w:r>
      <w:r w:rsidRPr="0023425B">
        <w:rPr>
          <w:rFonts w:ascii="Times New Roman" w:hAnsi="Times New Roman"/>
          <w:i/>
          <w:color w:val="000000"/>
          <w:sz w:val="28"/>
          <w:szCs w:val="28"/>
          <w:shd w:val="clear" w:color="auto" w:fill="FFFFFF"/>
        </w:rPr>
        <w:lastRenderedPageBreak/>
        <w:t>điện đến hộ dân theo các quy định hiện hành. Việc bàn giao công trình được thực hiện ngay khi hoàn thành và đưa công trình vào vận hành.”</w:t>
      </w:r>
    </w:p>
    <w:p w:rsidR="0023425B" w:rsidRPr="0023425B" w:rsidRDefault="0023425B" w:rsidP="0023425B">
      <w:pPr>
        <w:spacing w:before="120" w:after="120" w:line="240" w:lineRule="auto"/>
        <w:ind w:firstLine="720"/>
        <w:jc w:val="both"/>
        <w:rPr>
          <w:rFonts w:ascii="Times New Roman" w:hAnsi="Times New Roman"/>
          <w:i/>
          <w:color w:val="000000"/>
          <w:sz w:val="28"/>
          <w:szCs w:val="28"/>
          <w:shd w:val="clear" w:color="auto" w:fill="FFFFFF"/>
        </w:rPr>
      </w:pPr>
      <w:r w:rsidRPr="0023425B">
        <w:rPr>
          <w:rFonts w:ascii="Times New Roman" w:hAnsi="Times New Roman"/>
          <w:sz w:val="28"/>
          <w:szCs w:val="28"/>
          <w:lang w:val="nl-NL"/>
        </w:rPr>
        <w:t xml:space="preserve">- Tại khoản 3 Điều 2 Quyết định số 1740/QĐ-TTg, Thủ tướng Chính phủ giao Bộ Tài chính: </w:t>
      </w:r>
      <w:r w:rsidRPr="0023425B">
        <w:rPr>
          <w:rFonts w:ascii="Times New Roman" w:hAnsi="Times New Roman"/>
          <w:i/>
          <w:sz w:val="28"/>
          <w:szCs w:val="28"/>
          <w:lang w:val="nl-NL"/>
        </w:rPr>
        <w:t>“</w:t>
      </w:r>
      <w:r w:rsidRPr="0023425B">
        <w:rPr>
          <w:rFonts w:ascii="Times New Roman" w:hAnsi="Times New Roman"/>
          <w:i/>
          <w:color w:val="000000"/>
          <w:sz w:val="28"/>
          <w:szCs w:val="28"/>
          <w:shd w:val="clear" w:color="auto" w:fill="FFFFFF"/>
        </w:rPr>
        <w:t>Chủ trì, phối hợp với các bộ, cơ quan liên quan hướng dẫn việc bàn giao, tiếp nhận vốn, tài sản và hoàn trả vốn đầu tư các dự án thành phần.”</w:t>
      </w:r>
    </w:p>
    <w:p w:rsidR="0023425B" w:rsidRDefault="007371DE" w:rsidP="007371DE">
      <w:pPr>
        <w:spacing w:before="120" w:after="120" w:line="240" w:lineRule="auto"/>
        <w:jc w:val="both"/>
        <w:rPr>
          <w:rFonts w:ascii="Times New Roman" w:hAnsi="Times New Roman"/>
          <w:sz w:val="28"/>
          <w:szCs w:val="28"/>
          <w:lang w:val="nl-NL"/>
        </w:rPr>
      </w:pPr>
      <w:r>
        <w:rPr>
          <w:rFonts w:ascii="Times New Roman" w:hAnsi="Times New Roman"/>
          <w:sz w:val="28"/>
          <w:szCs w:val="28"/>
          <w:lang w:val="nl-NL"/>
        </w:rPr>
        <w:tab/>
        <w:t>Như vậy, việc ban hành Quyết định của Thủ tướng Chính phủ hướng dẫn bàn giao, tiếp nhận vốn, tài sản và hoàn trả vốn đối với các dự án thành phần thuộc Chương tình cấp điện nông thôn, miền núi và hải đảo từ nguồn lưới điện quốc gia theo Quyết định số 2081/QĐ-TTg ngày 8/11/2013 và Quyết định số 1740/QĐ-TTg ngày 13/12/2018 của Thủ tướng Chính phủ là cần thiết và phù hợp về hình thức văn bản quy định tại Luật ban hành văn bản quy phạm pháp luật năm 2015.</w:t>
      </w:r>
    </w:p>
    <w:p w:rsidR="00DB40DB" w:rsidRPr="0023425B" w:rsidRDefault="00DB40DB" w:rsidP="00DB40DB">
      <w:pPr>
        <w:spacing w:before="120" w:after="120" w:line="240" w:lineRule="auto"/>
        <w:ind w:firstLine="720"/>
        <w:jc w:val="both"/>
        <w:rPr>
          <w:rFonts w:ascii="Times New Roman" w:hAnsi="Times New Roman"/>
          <w:sz w:val="28"/>
          <w:szCs w:val="28"/>
          <w:lang w:val="nl-NL"/>
        </w:rPr>
      </w:pPr>
      <w:r>
        <w:rPr>
          <w:rFonts w:ascii="Times New Roman" w:hAnsi="Times New Roman"/>
          <w:sz w:val="28"/>
          <w:szCs w:val="28"/>
          <w:lang w:val="nl-NL"/>
        </w:rPr>
        <w:t>Bộ Tài chính trình Thủ tướng Chính phủ chấp thuận việc ban hành Quyết định của Thủ tướng Chính phủ với phạm vi và đối tượng hướng dẫn như trên.</w:t>
      </w:r>
    </w:p>
    <w:p w:rsidR="0002653C" w:rsidRPr="00E13E68" w:rsidRDefault="0002653C" w:rsidP="007371DE">
      <w:pPr>
        <w:spacing w:before="120" w:after="120" w:line="240" w:lineRule="auto"/>
        <w:ind w:firstLine="720"/>
        <w:jc w:val="both"/>
        <w:rPr>
          <w:rFonts w:ascii="Times New Roman" w:hAnsi="Times New Roman"/>
          <w:b/>
          <w:sz w:val="28"/>
          <w:szCs w:val="28"/>
          <w:lang w:val="nl-NL"/>
        </w:rPr>
      </w:pPr>
      <w:r w:rsidRPr="00E13E68">
        <w:rPr>
          <w:rFonts w:ascii="Times New Roman" w:hAnsi="Times New Roman"/>
          <w:b/>
          <w:sz w:val="28"/>
          <w:szCs w:val="28"/>
          <w:lang w:val="nl-NL"/>
        </w:rPr>
        <w:t>II. Quá trình soạn thảo Quyết định</w:t>
      </w:r>
    </w:p>
    <w:p w:rsidR="0023425B" w:rsidRPr="007371DE" w:rsidRDefault="0002653C" w:rsidP="007371DE">
      <w:pPr>
        <w:spacing w:before="120" w:after="120" w:line="240" w:lineRule="auto"/>
        <w:ind w:firstLine="720"/>
        <w:jc w:val="both"/>
        <w:rPr>
          <w:rFonts w:ascii="Times New Roman" w:eastAsia="Arial" w:hAnsi="Times New Roman"/>
          <w:sz w:val="28"/>
          <w:szCs w:val="28"/>
          <w:lang w:val="nl-NL"/>
        </w:rPr>
      </w:pPr>
      <w:r w:rsidRPr="007371DE">
        <w:rPr>
          <w:rFonts w:ascii="Times New Roman" w:hAnsi="Times New Roman"/>
          <w:sz w:val="28"/>
          <w:szCs w:val="28"/>
          <w:lang w:val="nl-NL"/>
        </w:rPr>
        <w:t xml:space="preserve">1. </w:t>
      </w:r>
      <w:r w:rsidR="0023425B" w:rsidRPr="007371DE">
        <w:rPr>
          <w:rFonts w:ascii="Times New Roman" w:eastAsia="Arial" w:hAnsi="Times New Roman"/>
          <w:sz w:val="28"/>
          <w:szCs w:val="28"/>
          <w:lang w:val="nl-NL"/>
        </w:rPr>
        <w:t>Để có cơ sở thực hiện hướng dẫn các bên thực hiện bàn giao, tiếp nhận vốn và tài sản lưới điện sau đầu tư theo ý kiến chỉ đạo của Thủ tướng Chính phủ tại Quyết định số 2081/QĐ-TTg, Bộ Tài chính đã có công văn số 18175/BTC-TCDN ngày 7/12/2015 gửi EVN và UBND các tỉnh với nội dung:</w:t>
      </w:r>
    </w:p>
    <w:p w:rsidR="0023425B" w:rsidRPr="007371DE" w:rsidRDefault="0023425B" w:rsidP="007371DE">
      <w:pPr>
        <w:spacing w:before="120" w:after="120" w:line="240" w:lineRule="auto"/>
        <w:ind w:firstLine="720"/>
        <w:jc w:val="both"/>
        <w:rPr>
          <w:rFonts w:ascii="Times New Roman" w:eastAsia="Arial" w:hAnsi="Times New Roman"/>
          <w:i/>
          <w:sz w:val="28"/>
          <w:szCs w:val="28"/>
          <w:lang w:val="nl-NL"/>
        </w:rPr>
      </w:pPr>
      <w:r w:rsidRPr="007371DE">
        <w:rPr>
          <w:rFonts w:ascii="Times New Roman" w:eastAsia="Arial" w:hAnsi="Times New Roman"/>
          <w:i/>
          <w:sz w:val="28"/>
          <w:szCs w:val="28"/>
          <w:lang w:val="nl-NL"/>
        </w:rPr>
        <w:t>“+ Đề nghị EVN phối hợp với UBND các tỉnh (danh sách các tỉnh trong Chương trình cấp điện nông thôn, miền núi và hải đảo giai đoạn 2013 - 2020 ban hành kèm theo Quyết định số 2081/QĐ-TTg) rà soát và báo cáo tình hình thực hiện dự án đầu tư các công trình cấp điện nông thôn từ lưới điện quốc gia theo Quyết định số 2081/QĐ-TTg ngày 8/11/2013 của Thủ tướng Chính phủ. Trên cơ sở đó, UBND các tỉnh và EVN bàn bạc, thống nhất đề xuất phương án bàn giao tài sản gồm: thời điểm bàn giao, nguyên tắc xác định giá trị của tài sản bàn giao, phương thức bàn giao tài sản và vốn (có hoàn trả hay không hoàn trả vốn).</w:t>
      </w:r>
    </w:p>
    <w:p w:rsidR="0023425B" w:rsidRPr="007371DE" w:rsidRDefault="0023425B" w:rsidP="007371DE">
      <w:pPr>
        <w:spacing w:before="120" w:after="120" w:line="240" w:lineRule="auto"/>
        <w:ind w:firstLine="720"/>
        <w:jc w:val="both"/>
        <w:rPr>
          <w:rFonts w:ascii="Times New Roman" w:hAnsi="Times New Roman"/>
          <w:i/>
          <w:sz w:val="28"/>
          <w:szCs w:val="28"/>
          <w:lang w:val="nl-NL"/>
        </w:rPr>
      </w:pPr>
      <w:r w:rsidRPr="007371DE">
        <w:rPr>
          <w:rFonts w:ascii="Times New Roman" w:eastAsia="Arial" w:hAnsi="Times New Roman"/>
          <w:i/>
          <w:sz w:val="28"/>
          <w:szCs w:val="28"/>
          <w:lang w:val="nl-NL"/>
        </w:rPr>
        <w:t>+ Sau khi nhận được báo cáo của EVN và UBND các tỉnh, Bộ Tài chính sẽ phối hợp với Bộ Công Thương và các cơ quan có liên quan nghiên cứu, hướng dẫn việc thực hiện bàn giao các dự án cấp điện nông thôn theo chỉ đạo của Thủ tướng Chính phủ tại khoản 3 Điều 2 Quyết định số 2081/QĐ-TTg.”</w:t>
      </w:r>
    </w:p>
    <w:p w:rsidR="0023425B" w:rsidRPr="007371DE" w:rsidRDefault="0023425B" w:rsidP="007371DE">
      <w:pPr>
        <w:spacing w:before="120" w:after="120" w:line="240" w:lineRule="auto"/>
        <w:ind w:firstLine="720"/>
        <w:jc w:val="both"/>
        <w:rPr>
          <w:rFonts w:ascii="Times New Roman" w:eastAsia="Arial" w:hAnsi="Times New Roman"/>
          <w:sz w:val="28"/>
          <w:szCs w:val="28"/>
          <w:lang w:val="nl-NL"/>
        </w:rPr>
      </w:pPr>
      <w:r w:rsidRPr="007371DE">
        <w:rPr>
          <w:rFonts w:ascii="Times New Roman" w:hAnsi="Times New Roman"/>
          <w:sz w:val="28"/>
          <w:szCs w:val="28"/>
          <w:lang w:val="nl-NL"/>
        </w:rPr>
        <w:t>Tính đến tháng 6/2017, Bộ Tài chính</w:t>
      </w:r>
      <w:r w:rsidRPr="007371DE">
        <w:rPr>
          <w:rFonts w:ascii="Times New Roman" w:eastAsia="Arial" w:hAnsi="Times New Roman"/>
          <w:sz w:val="28"/>
          <w:szCs w:val="28"/>
          <w:lang w:val="nl-NL"/>
        </w:rPr>
        <w:t xml:space="preserve"> nhận được công văn báo cáo tình hình thực hiện dự án đầu tư các công trình cấp điện nông thôn từ lưới điện quốc gia theo Quyết định số 2081/QĐ-TTg của 19/48 tỉnh. Tuy nhiên, tại thời điểm này, do hầu hết các tỉnh chưa báo cáo cụ thể về cơ cấu nguồn vốn thực tế đã bố trí thực hiện dự án đến thời điểm báo cáo nên Bộ Tài chính chưa thể thống kê được số liệu cụ thể về tổng số vốn đã thực hiện Chương trình cấp điện nông thôn, miền núi, hải đảo giai đoạn 2013 - 2020 tại các tỉnh.</w:t>
      </w:r>
    </w:p>
    <w:p w:rsidR="00A25B34" w:rsidRDefault="0023425B" w:rsidP="007371DE">
      <w:pPr>
        <w:spacing w:before="120" w:after="120" w:line="240" w:lineRule="auto"/>
        <w:ind w:firstLine="720"/>
        <w:jc w:val="both"/>
        <w:rPr>
          <w:rFonts w:ascii="Times New Roman" w:eastAsia="Arial" w:hAnsi="Times New Roman"/>
          <w:sz w:val="28"/>
          <w:szCs w:val="28"/>
          <w:lang w:val="nl-NL"/>
        </w:rPr>
      </w:pPr>
      <w:r w:rsidRPr="007371DE">
        <w:rPr>
          <w:rFonts w:ascii="Times New Roman" w:eastAsia="Arial" w:hAnsi="Times New Roman"/>
          <w:sz w:val="28"/>
          <w:szCs w:val="28"/>
          <w:lang w:val="nl-NL"/>
        </w:rPr>
        <w:t xml:space="preserve">Ngày 03/10/2017, Bộ Tài chính đã tổ chức họp với EVN và các địa phương để tổng hợp ý kiến đề xuất về nguyên tắc bàn giao, tình hình thực tế của từng địa </w:t>
      </w:r>
      <w:r w:rsidRPr="007371DE">
        <w:rPr>
          <w:rFonts w:ascii="Times New Roman" w:eastAsia="Arial" w:hAnsi="Times New Roman"/>
          <w:sz w:val="28"/>
          <w:szCs w:val="28"/>
          <w:lang w:val="nl-NL"/>
        </w:rPr>
        <w:lastRenderedPageBreak/>
        <w:t xml:space="preserve">phương để làm căn cứ </w:t>
      </w:r>
      <w:r w:rsidR="00A25B34">
        <w:rPr>
          <w:rFonts w:ascii="Times New Roman" w:eastAsia="Arial" w:hAnsi="Times New Roman"/>
          <w:sz w:val="28"/>
          <w:szCs w:val="28"/>
          <w:lang w:val="nl-NL"/>
        </w:rPr>
        <w:t xml:space="preserve">nghiên cứu, </w:t>
      </w:r>
      <w:r w:rsidRPr="007371DE">
        <w:rPr>
          <w:rFonts w:ascii="Times New Roman" w:eastAsia="Arial" w:hAnsi="Times New Roman"/>
          <w:sz w:val="28"/>
          <w:szCs w:val="28"/>
          <w:lang w:val="nl-NL"/>
        </w:rPr>
        <w:t>xây dựng nội dung hướng dẫn việc bàn giao, tiếp nhận vốn, tài sản và hoàn trả vốn</w:t>
      </w:r>
      <w:r w:rsidR="00A25B34">
        <w:rPr>
          <w:rFonts w:ascii="Times New Roman" w:eastAsia="Arial" w:hAnsi="Times New Roman"/>
          <w:sz w:val="28"/>
          <w:szCs w:val="28"/>
          <w:lang w:val="nl-NL"/>
        </w:rPr>
        <w:t xml:space="preserve"> nhằm đảm bảo sự thống nhất với các quy định của pháp luật có liên quan cũng như phù hợp thực tiễn tổ chức triển khai tại các địa phương. </w:t>
      </w:r>
    </w:p>
    <w:p w:rsidR="0023425B" w:rsidRPr="007371DE" w:rsidRDefault="00A25B34" w:rsidP="007371DE">
      <w:pPr>
        <w:spacing w:before="120" w:after="120" w:line="240" w:lineRule="auto"/>
        <w:ind w:firstLine="720"/>
        <w:jc w:val="both"/>
        <w:rPr>
          <w:rFonts w:ascii="Times New Roman" w:eastAsia="Arial" w:hAnsi="Times New Roman"/>
          <w:sz w:val="28"/>
          <w:szCs w:val="28"/>
          <w:lang w:val="nl-NL"/>
        </w:rPr>
      </w:pPr>
      <w:r>
        <w:rPr>
          <w:rFonts w:ascii="Times New Roman" w:eastAsia="Arial" w:hAnsi="Times New Roman"/>
          <w:sz w:val="28"/>
          <w:szCs w:val="28"/>
          <w:lang w:val="nl-NL"/>
        </w:rPr>
        <w:t>Trên thực tế, việc tổ chức thực hiện đầu tư, bàn giao các công trình điện trong phạm vi Chương trình</w:t>
      </w:r>
      <w:r w:rsidR="001E34C2">
        <w:rPr>
          <w:rFonts w:ascii="Times New Roman" w:eastAsia="Arial" w:hAnsi="Times New Roman"/>
          <w:sz w:val="28"/>
          <w:szCs w:val="28"/>
          <w:lang w:val="nl-NL"/>
        </w:rPr>
        <w:t xml:space="preserve"> cấp điện nông thôn, miền núi và hải đảo giai đoạn 2013 - 2020 còn chậm. Theo báo cáo của EVN tại công văn số 2097/EVN-KD ngày 23/4/2019, mới có 224 xã (trên tổng số 1.517 xã theo phê duyệt) đã bàn giao cho ngành điện quản lý, vận hành</w:t>
      </w:r>
      <w:r w:rsidR="0023425B" w:rsidRPr="007371DE">
        <w:rPr>
          <w:rFonts w:ascii="Times New Roman" w:eastAsia="Arial" w:hAnsi="Times New Roman"/>
          <w:sz w:val="28"/>
          <w:szCs w:val="28"/>
          <w:lang w:val="nl-NL"/>
        </w:rPr>
        <w:t>.</w:t>
      </w:r>
    </w:p>
    <w:p w:rsidR="0023425B" w:rsidRDefault="0023425B" w:rsidP="007371DE">
      <w:pPr>
        <w:spacing w:before="120" w:after="120" w:line="240" w:lineRule="auto"/>
        <w:ind w:firstLine="720"/>
        <w:jc w:val="both"/>
        <w:rPr>
          <w:rFonts w:ascii="Times New Roman" w:hAnsi="Times New Roman"/>
          <w:sz w:val="28"/>
          <w:szCs w:val="28"/>
          <w:lang w:val="nl-NL"/>
        </w:rPr>
      </w:pPr>
      <w:r w:rsidRPr="007371DE">
        <w:rPr>
          <w:rFonts w:ascii="Times New Roman" w:hAnsi="Times New Roman"/>
          <w:sz w:val="28"/>
          <w:szCs w:val="28"/>
          <w:lang w:val="nl-NL"/>
        </w:rPr>
        <w:t>Căn cứ quy định của Luật ban hành văn bản quy phạm pháp luật năm 2015</w:t>
      </w:r>
      <w:r w:rsidR="001E34C2">
        <w:rPr>
          <w:rFonts w:ascii="Times New Roman" w:hAnsi="Times New Roman"/>
          <w:sz w:val="28"/>
          <w:szCs w:val="28"/>
          <w:lang w:val="nl-NL"/>
        </w:rPr>
        <w:t xml:space="preserve"> và thực tiễn kết quả thực hiện</w:t>
      </w:r>
      <w:r w:rsidRPr="007371DE">
        <w:rPr>
          <w:rFonts w:ascii="Times New Roman" w:hAnsi="Times New Roman"/>
          <w:sz w:val="28"/>
          <w:szCs w:val="28"/>
          <w:lang w:val="nl-NL"/>
        </w:rPr>
        <w:t xml:space="preserve">, </w:t>
      </w:r>
      <w:r w:rsidR="007371DE" w:rsidRPr="007371DE">
        <w:rPr>
          <w:rFonts w:ascii="Times New Roman" w:hAnsi="Times New Roman"/>
          <w:sz w:val="28"/>
          <w:szCs w:val="28"/>
          <w:lang w:val="nl-NL"/>
        </w:rPr>
        <w:t xml:space="preserve">Bộ Tài chính </w:t>
      </w:r>
      <w:r w:rsidRPr="007371DE">
        <w:rPr>
          <w:rFonts w:ascii="Times New Roman" w:hAnsi="Times New Roman"/>
          <w:sz w:val="28"/>
          <w:szCs w:val="28"/>
          <w:lang w:val="nl-NL"/>
        </w:rPr>
        <w:t xml:space="preserve">đã </w:t>
      </w:r>
      <w:r w:rsidRPr="007371DE">
        <w:rPr>
          <w:rFonts w:ascii="Times New Roman" w:eastAsia="Arial" w:hAnsi="Times New Roman"/>
          <w:sz w:val="28"/>
          <w:szCs w:val="28"/>
          <w:lang w:val="nl-NL"/>
        </w:rPr>
        <w:t>dự thảo Quyết định của Thủ tưởng Chính phủ hướng dẫn việc bàn giao, tiếp nhận vốn, tài sản và hoàn trả vốn đối với các dự án cấp điện nông thôn theo Quyết định số 2081/QĐ-TTg và có công văn số 16132/BTC-TCDN ngày 28/11/2017 xin ý kiến UBND các tỉnh, các Bộ ngành có liên quan.</w:t>
      </w:r>
    </w:p>
    <w:p w:rsidR="001461FA" w:rsidRPr="0023425B" w:rsidRDefault="001461FA" w:rsidP="001461FA">
      <w:pPr>
        <w:spacing w:before="120" w:after="120" w:line="240" w:lineRule="auto"/>
        <w:ind w:firstLine="720"/>
        <w:jc w:val="both"/>
        <w:rPr>
          <w:rFonts w:ascii="Times New Roman" w:hAnsi="Times New Roman"/>
          <w:sz w:val="28"/>
          <w:szCs w:val="28"/>
          <w:lang w:val="nl-NL"/>
        </w:rPr>
      </w:pPr>
      <w:r>
        <w:rPr>
          <w:rFonts w:ascii="Times New Roman" w:hAnsi="Times New Roman"/>
          <w:sz w:val="28"/>
          <w:szCs w:val="28"/>
          <w:lang w:val="nl-NL"/>
        </w:rPr>
        <w:t xml:space="preserve">2. </w:t>
      </w:r>
      <w:r w:rsidR="007371DE">
        <w:rPr>
          <w:rFonts w:ascii="Times New Roman" w:hAnsi="Times New Roman"/>
          <w:sz w:val="28"/>
          <w:szCs w:val="28"/>
          <w:lang w:val="nl-NL"/>
        </w:rPr>
        <w:t xml:space="preserve">Trong quá trình </w:t>
      </w:r>
      <w:r>
        <w:rPr>
          <w:rFonts w:ascii="Times New Roman" w:hAnsi="Times New Roman"/>
          <w:sz w:val="28"/>
          <w:szCs w:val="28"/>
          <w:lang w:val="nl-NL"/>
        </w:rPr>
        <w:t xml:space="preserve">Bộ Tài chính </w:t>
      </w:r>
      <w:r w:rsidR="007371DE">
        <w:rPr>
          <w:rFonts w:ascii="Times New Roman" w:hAnsi="Times New Roman"/>
          <w:sz w:val="28"/>
          <w:szCs w:val="28"/>
          <w:lang w:val="nl-NL"/>
        </w:rPr>
        <w:t xml:space="preserve">tổng hợp, giải trình, tiếp thu ý kiến của các cơ quan, đơn vị liên quan đối với dự thảo Quyết định hướng dẫn </w:t>
      </w:r>
      <w:r w:rsidR="007371DE" w:rsidRPr="007371DE">
        <w:rPr>
          <w:rFonts w:ascii="Times New Roman" w:eastAsia="Arial" w:hAnsi="Times New Roman"/>
          <w:sz w:val="28"/>
          <w:szCs w:val="28"/>
          <w:lang w:val="nl-NL"/>
        </w:rPr>
        <w:t>việc bàn giao, tiếp nhận vốn, tài sản và hoàn trả vốn đối với các dự án cấp điện nông thôn theo Quyết định số 2081/QĐ-TTg</w:t>
      </w:r>
      <w:r>
        <w:rPr>
          <w:rFonts w:ascii="Times New Roman" w:eastAsia="Arial" w:hAnsi="Times New Roman"/>
          <w:sz w:val="28"/>
          <w:szCs w:val="28"/>
          <w:lang w:val="nl-NL"/>
        </w:rPr>
        <w:t xml:space="preserve">; </w:t>
      </w:r>
      <w:r w:rsidRPr="0023425B">
        <w:rPr>
          <w:rFonts w:ascii="Times New Roman" w:hAnsi="Times New Roman"/>
          <w:sz w:val="28"/>
          <w:szCs w:val="28"/>
          <w:lang w:val="nl-NL"/>
        </w:rPr>
        <w:t>Bộ Kế hoạch và Đầu tư tiếp tục xây dựng dự thảo Quyết định của Thủ tướng Chính phủ cập nhật, chỉnh sửa Chương trình mục tiêu cấp điện nông thôn, miền núi và hải đảo cho giai đoạn 2016 - 2020, trong đó có bổ sung thêm danh mục một số dự án, công trình khu vực hải đảo.</w:t>
      </w:r>
    </w:p>
    <w:p w:rsidR="001461FA" w:rsidRDefault="00392082" w:rsidP="00392082">
      <w:pPr>
        <w:spacing w:before="120" w:after="120" w:line="240" w:lineRule="auto"/>
        <w:ind w:firstLine="720"/>
        <w:jc w:val="both"/>
        <w:rPr>
          <w:rFonts w:ascii="Times New Roman" w:hAnsi="Times New Roman"/>
          <w:sz w:val="28"/>
          <w:szCs w:val="28"/>
          <w:lang w:val="nl-NL"/>
        </w:rPr>
      </w:pPr>
      <w:r>
        <w:rPr>
          <w:rFonts w:ascii="Times New Roman" w:hAnsi="Times New Roman"/>
          <w:sz w:val="28"/>
          <w:szCs w:val="28"/>
          <w:lang w:val="nl-NL"/>
        </w:rPr>
        <w:t>N</w:t>
      </w:r>
      <w:r w:rsidR="001461FA" w:rsidRPr="0023425B">
        <w:rPr>
          <w:rFonts w:ascii="Times New Roman" w:hAnsi="Times New Roman"/>
          <w:sz w:val="28"/>
          <w:szCs w:val="28"/>
          <w:lang w:val="nl-NL"/>
        </w:rPr>
        <w:t xml:space="preserve">gày 13/12/2018, Thủ tướng Chính phủ </w:t>
      </w:r>
      <w:r>
        <w:rPr>
          <w:rFonts w:ascii="Times New Roman" w:hAnsi="Times New Roman"/>
          <w:sz w:val="28"/>
          <w:szCs w:val="28"/>
          <w:lang w:val="nl-NL"/>
        </w:rPr>
        <w:t>đã</w:t>
      </w:r>
      <w:r w:rsidR="001461FA" w:rsidRPr="0023425B">
        <w:rPr>
          <w:rFonts w:ascii="Times New Roman" w:hAnsi="Times New Roman"/>
          <w:sz w:val="28"/>
          <w:szCs w:val="28"/>
          <w:lang w:val="nl-NL"/>
        </w:rPr>
        <w:t xml:space="preserve"> ban hành Quyết định số 1740/QĐ-TTg phê duyệt Chương trình mục tiêu cấp điện nông thôn, miền núi và hải đảo giai đoạn 2016 </w:t>
      </w:r>
      <w:r w:rsidR="001461FA">
        <w:rPr>
          <w:rFonts w:ascii="Times New Roman" w:hAnsi="Times New Roman"/>
          <w:sz w:val="28"/>
          <w:szCs w:val="28"/>
          <w:lang w:val="nl-NL"/>
        </w:rPr>
        <w:t>-</w:t>
      </w:r>
      <w:r w:rsidR="001461FA" w:rsidRPr="0023425B">
        <w:rPr>
          <w:rFonts w:ascii="Times New Roman" w:hAnsi="Times New Roman"/>
          <w:sz w:val="28"/>
          <w:szCs w:val="28"/>
          <w:lang w:val="nl-NL"/>
        </w:rPr>
        <w:t xml:space="preserve"> 2020</w:t>
      </w:r>
      <w:r w:rsidR="001461FA">
        <w:rPr>
          <w:rFonts w:ascii="Times New Roman" w:hAnsi="Times New Roman"/>
          <w:sz w:val="28"/>
          <w:szCs w:val="28"/>
          <w:lang w:val="nl-NL"/>
        </w:rPr>
        <w:t>.</w:t>
      </w:r>
      <w:r w:rsidRPr="00392082">
        <w:rPr>
          <w:rFonts w:ascii="Times New Roman" w:hAnsi="Times New Roman"/>
          <w:color w:val="000000"/>
          <w:sz w:val="28"/>
          <w:szCs w:val="28"/>
          <w:shd w:val="clear" w:color="auto" w:fill="FFFFFF"/>
          <w:lang w:val="nl-NL"/>
        </w:rPr>
        <w:t xml:space="preserve"> </w:t>
      </w:r>
      <w:r>
        <w:rPr>
          <w:rFonts w:ascii="Times New Roman" w:hAnsi="Times New Roman"/>
          <w:color w:val="000000"/>
          <w:sz w:val="28"/>
          <w:szCs w:val="28"/>
          <w:shd w:val="clear" w:color="auto" w:fill="FFFFFF"/>
          <w:lang w:val="nl-NL"/>
        </w:rPr>
        <w:t>Do đó</w:t>
      </w:r>
      <w:r w:rsidR="001461FA" w:rsidRPr="001461FA">
        <w:rPr>
          <w:rFonts w:ascii="Times New Roman" w:hAnsi="Times New Roman"/>
          <w:color w:val="000000"/>
          <w:sz w:val="28"/>
          <w:szCs w:val="28"/>
          <w:shd w:val="clear" w:color="auto" w:fill="FFFFFF"/>
          <w:lang w:val="nl-NL"/>
        </w:rPr>
        <w:t xml:space="preserve">, </w:t>
      </w:r>
      <w:r w:rsidR="001461FA" w:rsidRPr="001461FA">
        <w:rPr>
          <w:rFonts w:ascii="Times New Roman" w:hAnsi="Times New Roman"/>
          <w:color w:val="000000"/>
          <w:sz w:val="28"/>
          <w:szCs w:val="28"/>
          <w:shd w:val="clear" w:color="auto" w:fill="FFFFFF"/>
        </w:rPr>
        <w:t>Bộ Tài chính</w:t>
      </w:r>
      <w:r w:rsidR="001461FA" w:rsidRPr="0023425B">
        <w:rPr>
          <w:rFonts w:ascii="Times New Roman" w:hAnsi="Times New Roman"/>
          <w:color w:val="000000"/>
          <w:sz w:val="28"/>
          <w:szCs w:val="28"/>
          <w:shd w:val="clear" w:color="auto" w:fill="FFFFFF"/>
        </w:rPr>
        <w:t xml:space="preserve"> tiếp tục rà soát, bổ sung nội dung dự thảo </w:t>
      </w:r>
      <w:r w:rsidR="001461FA" w:rsidRPr="001461FA">
        <w:rPr>
          <w:rFonts w:ascii="Times New Roman" w:hAnsi="Times New Roman"/>
          <w:color w:val="000000"/>
          <w:sz w:val="28"/>
          <w:szCs w:val="28"/>
          <w:shd w:val="clear" w:color="auto" w:fill="FFFFFF"/>
          <w:lang w:val="nl-NL"/>
        </w:rPr>
        <w:t xml:space="preserve">Quyết định của Thủ tướng Chính phủ </w:t>
      </w:r>
      <w:r w:rsidR="001461FA">
        <w:rPr>
          <w:rFonts w:ascii="Times New Roman" w:hAnsi="Times New Roman"/>
          <w:sz w:val="28"/>
          <w:szCs w:val="28"/>
          <w:lang w:val="nl-NL"/>
        </w:rPr>
        <w:t xml:space="preserve">hướng dẫn </w:t>
      </w:r>
      <w:r w:rsidR="001461FA" w:rsidRPr="007371DE">
        <w:rPr>
          <w:rFonts w:ascii="Times New Roman" w:eastAsia="Arial" w:hAnsi="Times New Roman"/>
          <w:sz w:val="28"/>
          <w:szCs w:val="28"/>
          <w:lang w:val="nl-NL"/>
        </w:rPr>
        <w:t xml:space="preserve">việc bàn giao, tiếp nhận vốn, tài sản và hoàn trả vốn đối với các dự án cấp điện nông thôn </w:t>
      </w:r>
      <w:r w:rsidR="001461FA" w:rsidRPr="0023425B">
        <w:rPr>
          <w:rFonts w:ascii="Times New Roman" w:hAnsi="Times New Roman"/>
          <w:color w:val="000000"/>
          <w:sz w:val="28"/>
          <w:szCs w:val="28"/>
          <w:shd w:val="clear" w:color="auto" w:fill="FFFFFF"/>
        </w:rPr>
        <w:t>cho phù hợp.</w:t>
      </w:r>
      <w:r w:rsidR="001461FA" w:rsidRPr="0023425B">
        <w:rPr>
          <w:rFonts w:ascii="Times New Roman" w:hAnsi="Times New Roman"/>
          <w:sz w:val="28"/>
          <w:szCs w:val="28"/>
          <w:lang w:val="nl-NL"/>
        </w:rPr>
        <w:t xml:space="preserve"> </w:t>
      </w:r>
    </w:p>
    <w:p w:rsidR="001461FA" w:rsidRDefault="001461FA" w:rsidP="001461FA">
      <w:pPr>
        <w:spacing w:before="120" w:after="120" w:line="240" w:lineRule="auto"/>
        <w:ind w:firstLine="720"/>
        <w:jc w:val="both"/>
        <w:rPr>
          <w:rFonts w:ascii="Times New Roman" w:eastAsia="Arial" w:hAnsi="Times New Roman"/>
          <w:sz w:val="28"/>
          <w:szCs w:val="28"/>
          <w:lang w:val="nl-NL"/>
        </w:rPr>
      </w:pPr>
      <w:r>
        <w:rPr>
          <w:rFonts w:ascii="Times New Roman" w:eastAsia="Arial" w:hAnsi="Times New Roman"/>
          <w:sz w:val="28"/>
          <w:szCs w:val="28"/>
          <w:lang w:val="nl-NL"/>
        </w:rPr>
        <w:t>Ngày 5/9/2019, Bộ Tài chính đã có các văn bản gửi lấy ý kiến của các cơ quan, đơn vị liên quan đối với dự thảo Quyết định, cụ thể:</w:t>
      </w:r>
    </w:p>
    <w:p w:rsidR="001461FA" w:rsidRDefault="001461FA" w:rsidP="001461FA">
      <w:pPr>
        <w:spacing w:before="120" w:after="120" w:line="240" w:lineRule="auto"/>
        <w:ind w:firstLine="720"/>
        <w:jc w:val="both"/>
        <w:rPr>
          <w:rFonts w:ascii="Times New Roman" w:eastAsia="Arial" w:hAnsi="Times New Roman"/>
          <w:sz w:val="28"/>
          <w:szCs w:val="28"/>
          <w:lang w:val="nl-NL"/>
        </w:rPr>
      </w:pPr>
      <w:r>
        <w:rPr>
          <w:rFonts w:ascii="Times New Roman" w:eastAsia="Arial" w:hAnsi="Times New Roman"/>
          <w:sz w:val="28"/>
          <w:szCs w:val="28"/>
          <w:lang w:val="nl-NL"/>
        </w:rPr>
        <w:t>+ Văn bản số 10407/BTC-TCDN ngày 5/9/2019 gửi lấy ý kiến tham gia của Bộ Tư pháp, Bộ Kế hoạch và Đầu tư, Bộ Công Thương, Ủy ban Quản lý vốn nhà nước tại doanh nghiệp, 48 UBND các tỉnh/thành phố trong danh sách kèm theo Quyết định số 2081/QĐ-TTg;</w:t>
      </w:r>
    </w:p>
    <w:p w:rsidR="001461FA" w:rsidRDefault="001461FA" w:rsidP="001461FA">
      <w:pPr>
        <w:spacing w:before="120" w:after="120" w:line="240" w:lineRule="auto"/>
        <w:ind w:firstLine="720"/>
        <w:jc w:val="both"/>
        <w:rPr>
          <w:rFonts w:ascii="Times New Roman" w:eastAsia="Arial" w:hAnsi="Times New Roman"/>
          <w:sz w:val="28"/>
          <w:szCs w:val="28"/>
          <w:lang w:val="nl-NL"/>
        </w:rPr>
      </w:pPr>
      <w:r>
        <w:rPr>
          <w:rFonts w:ascii="Times New Roman" w:eastAsia="Arial" w:hAnsi="Times New Roman"/>
          <w:sz w:val="28"/>
          <w:szCs w:val="28"/>
          <w:lang w:val="nl-NL"/>
        </w:rPr>
        <w:t>+ Văn bản số 10408/BTC-TCD</w:t>
      </w:r>
      <w:r w:rsidR="0096018D">
        <w:rPr>
          <w:rFonts w:ascii="Times New Roman" w:eastAsia="Arial" w:hAnsi="Times New Roman"/>
          <w:sz w:val="28"/>
          <w:szCs w:val="28"/>
          <w:lang w:val="nl-NL"/>
        </w:rPr>
        <w:t>N</w:t>
      </w:r>
      <w:r>
        <w:rPr>
          <w:rFonts w:ascii="Times New Roman" w:eastAsia="Arial" w:hAnsi="Times New Roman"/>
          <w:sz w:val="28"/>
          <w:szCs w:val="28"/>
          <w:lang w:val="nl-NL"/>
        </w:rPr>
        <w:t xml:space="preserve"> ngày 5/9/2019 gửi lấy ý kiến tham gia của Văn phòng Chính phủ;</w:t>
      </w:r>
    </w:p>
    <w:p w:rsidR="001461FA" w:rsidRDefault="001461FA" w:rsidP="001461FA">
      <w:pPr>
        <w:spacing w:before="120" w:after="120" w:line="240" w:lineRule="auto"/>
        <w:ind w:firstLine="720"/>
        <w:jc w:val="both"/>
        <w:rPr>
          <w:rFonts w:ascii="Times New Roman" w:eastAsia="Arial" w:hAnsi="Times New Roman"/>
          <w:sz w:val="28"/>
          <w:szCs w:val="28"/>
          <w:lang w:val="nl-NL"/>
        </w:rPr>
      </w:pPr>
      <w:r>
        <w:rPr>
          <w:rFonts w:ascii="Times New Roman" w:eastAsia="Arial" w:hAnsi="Times New Roman"/>
          <w:sz w:val="28"/>
          <w:szCs w:val="28"/>
          <w:lang w:val="nl-NL"/>
        </w:rPr>
        <w:t>+ Văn bản số 10585/BTC-TCDN ngày 10/9/2019 gửi lấy kiến tham gia của Tập đoàn Điện lực Việt Nam.</w:t>
      </w:r>
    </w:p>
    <w:p w:rsidR="001461FA" w:rsidRDefault="001461FA" w:rsidP="007B14DB">
      <w:pPr>
        <w:spacing w:before="120" w:after="120" w:line="240" w:lineRule="auto"/>
        <w:ind w:firstLine="720"/>
        <w:jc w:val="both"/>
        <w:rPr>
          <w:rFonts w:ascii="Times New Roman" w:eastAsia="Arial" w:hAnsi="Times New Roman"/>
          <w:sz w:val="28"/>
          <w:szCs w:val="28"/>
          <w:lang w:val="nl-NL"/>
        </w:rPr>
      </w:pPr>
      <w:r>
        <w:rPr>
          <w:rFonts w:ascii="Times New Roman" w:eastAsia="Arial" w:hAnsi="Times New Roman"/>
          <w:sz w:val="28"/>
          <w:szCs w:val="28"/>
          <w:lang w:val="nl-NL"/>
        </w:rPr>
        <w:t xml:space="preserve">Đồng thời, dự thảo Quyết định đã được đăng tải trên Cổng thông tin điện tử Chính phủ và Cổng thông tin điện tử của Bộ Tài chính từ ngày 5/9/2019 để lấy ý </w:t>
      </w:r>
      <w:r>
        <w:rPr>
          <w:rFonts w:ascii="Times New Roman" w:eastAsia="Arial" w:hAnsi="Times New Roman"/>
          <w:sz w:val="28"/>
          <w:szCs w:val="28"/>
          <w:lang w:val="nl-NL"/>
        </w:rPr>
        <w:lastRenderedPageBreak/>
        <w:t>kiến rộng rãi của các cá nhân, tổ chức theo quy định của Luật ban hành văn bản quy phạm pháp luật (phải đăng công khai lấy ý kiến trong tối thiểu 60 ngày).</w:t>
      </w:r>
    </w:p>
    <w:p w:rsidR="0002653C" w:rsidRDefault="0002653C" w:rsidP="007B14DB">
      <w:pPr>
        <w:spacing w:before="120" w:after="120" w:line="240" w:lineRule="auto"/>
        <w:ind w:firstLine="720"/>
        <w:jc w:val="both"/>
        <w:rPr>
          <w:rFonts w:ascii="Times New Roman" w:hAnsi="Times New Roman"/>
          <w:sz w:val="28"/>
          <w:szCs w:val="28"/>
          <w:lang w:val="nl-NL"/>
        </w:rPr>
      </w:pPr>
      <w:r>
        <w:rPr>
          <w:rFonts w:ascii="Times New Roman" w:hAnsi="Times New Roman"/>
          <w:sz w:val="28"/>
          <w:szCs w:val="28"/>
          <w:lang w:val="nl-NL"/>
        </w:rPr>
        <w:t>2.</w:t>
      </w:r>
      <w:r w:rsidRPr="007A4384">
        <w:rPr>
          <w:rFonts w:ascii="Times New Roman" w:hAnsi="Times New Roman"/>
          <w:sz w:val="28"/>
          <w:szCs w:val="28"/>
          <w:lang w:val="nl-NL"/>
        </w:rPr>
        <w:t xml:space="preserve"> Sau khi </w:t>
      </w:r>
      <w:r w:rsidR="007B14DB">
        <w:rPr>
          <w:rFonts w:ascii="Times New Roman" w:hAnsi="Times New Roman"/>
          <w:sz w:val="28"/>
          <w:szCs w:val="28"/>
          <w:lang w:val="nl-NL"/>
        </w:rPr>
        <w:t>nhận được</w:t>
      </w:r>
      <w:r w:rsidRPr="007A4384">
        <w:rPr>
          <w:rFonts w:ascii="Times New Roman" w:hAnsi="Times New Roman"/>
          <w:sz w:val="28"/>
          <w:szCs w:val="28"/>
          <w:lang w:val="nl-NL"/>
        </w:rPr>
        <w:t xml:space="preserve"> ý kiến đóng góp c</w:t>
      </w:r>
      <w:r>
        <w:rPr>
          <w:rFonts w:ascii="Times New Roman" w:hAnsi="Times New Roman"/>
          <w:sz w:val="28"/>
          <w:szCs w:val="28"/>
          <w:lang w:val="nl-NL"/>
        </w:rPr>
        <w:t xml:space="preserve">ủa </w:t>
      </w:r>
      <w:r w:rsidR="00C9715C">
        <w:rPr>
          <w:rFonts w:ascii="Times New Roman" w:hAnsi="Times New Roman"/>
          <w:sz w:val="28"/>
          <w:szCs w:val="28"/>
          <w:lang w:val="nl-NL"/>
        </w:rPr>
        <w:t>các Bộ, ngành</w:t>
      </w:r>
      <w:r w:rsidR="007B14DB">
        <w:rPr>
          <w:rFonts w:ascii="Times New Roman" w:hAnsi="Times New Roman"/>
          <w:sz w:val="28"/>
          <w:szCs w:val="28"/>
          <w:lang w:val="nl-NL"/>
        </w:rPr>
        <w:t xml:space="preserve"> (Bộ Tư pháp tại công văn số 3666/BTP-PLDSKT ngày 24/9/2019, Bộ Công Thương tại công văn số 7542/BCT-ĐL ngày 9/10/2019, Ủy ban Quản lý vốn nhà nước tại doanh nghiệp tại công văn số 1573/UBQLV-NL ngày 18/10/2019)</w:t>
      </w:r>
      <w:r>
        <w:rPr>
          <w:rFonts w:ascii="Times New Roman" w:hAnsi="Times New Roman"/>
          <w:sz w:val="28"/>
          <w:szCs w:val="28"/>
          <w:lang w:val="nl-NL"/>
        </w:rPr>
        <w:t>,</w:t>
      </w:r>
      <w:r w:rsidRPr="007A4384">
        <w:rPr>
          <w:rFonts w:ascii="Times New Roman" w:hAnsi="Times New Roman"/>
          <w:sz w:val="28"/>
          <w:szCs w:val="28"/>
          <w:lang w:val="nl-NL"/>
        </w:rPr>
        <w:t xml:space="preserve"> </w:t>
      </w:r>
      <w:r w:rsidR="007B14DB">
        <w:rPr>
          <w:rFonts w:ascii="Times New Roman" w:hAnsi="Times New Roman"/>
          <w:sz w:val="28"/>
          <w:szCs w:val="28"/>
          <w:lang w:val="nl-NL"/>
        </w:rPr>
        <w:t xml:space="preserve">ý kiến của </w:t>
      </w:r>
      <w:r w:rsidRPr="007A4384">
        <w:rPr>
          <w:rFonts w:ascii="Times New Roman" w:hAnsi="Times New Roman"/>
          <w:sz w:val="28"/>
          <w:szCs w:val="28"/>
          <w:lang w:val="nl-NL"/>
        </w:rPr>
        <w:t>UBND các tỉ</w:t>
      </w:r>
      <w:r>
        <w:rPr>
          <w:rFonts w:ascii="Times New Roman" w:hAnsi="Times New Roman"/>
          <w:sz w:val="28"/>
          <w:szCs w:val="28"/>
          <w:lang w:val="nl-NL"/>
        </w:rPr>
        <w:t xml:space="preserve">nh là </w:t>
      </w:r>
      <w:r w:rsidRPr="007A4384">
        <w:rPr>
          <w:rFonts w:ascii="Times New Roman" w:hAnsi="Times New Roman"/>
          <w:sz w:val="28"/>
          <w:szCs w:val="28"/>
          <w:lang w:val="nl-NL"/>
        </w:rPr>
        <w:t>chủ đầu tư có dự án điện bàn giao</w:t>
      </w:r>
      <w:r>
        <w:rPr>
          <w:rFonts w:ascii="Times New Roman" w:hAnsi="Times New Roman"/>
          <w:sz w:val="28"/>
          <w:szCs w:val="28"/>
          <w:lang w:val="nl-NL"/>
        </w:rPr>
        <w:t xml:space="preserve"> (</w:t>
      </w:r>
      <w:r w:rsidR="007B14DB">
        <w:rPr>
          <w:rFonts w:ascii="Times New Roman" w:hAnsi="Times New Roman"/>
          <w:sz w:val="28"/>
          <w:szCs w:val="28"/>
          <w:lang w:val="nl-NL"/>
        </w:rPr>
        <w:t>có 34/48</w:t>
      </w:r>
      <w:r>
        <w:rPr>
          <w:rFonts w:ascii="Times New Roman" w:hAnsi="Times New Roman"/>
          <w:sz w:val="28"/>
          <w:szCs w:val="28"/>
          <w:lang w:val="nl-NL"/>
        </w:rPr>
        <w:t xml:space="preserve"> tỉnh</w:t>
      </w:r>
      <w:r w:rsidR="007B14DB">
        <w:rPr>
          <w:rFonts w:ascii="Times New Roman" w:hAnsi="Times New Roman"/>
          <w:sz w:val="28"/>
          <w:szCs w:val="28"/>
          <w:lang w:val="nl-NL"/>
        </w:rPr>
        <w:t xml:space="preserve"> gửi ý kiến</w:t>
      </w:r>
      <w:r>
        <w:rPr>
          <w:rFonts w:ascii="Times New Roman" w:hAnsi="Times New Roman"/>
          <w:sz w:val="28"/>
          <w:szCs w:val="28"/>
          <w:lang w:val="nl-NL"/>
        </w:rPr>
        <w:t>)</w:t>
      </w:r>
      <w:r w:rsidR="007B14DB">
        <w:rPr>
          <w:rFonts w:ascii="Times New Roman" w:hAnsi="Times New Roman"/>
          <w:sz w:val="28"/>
          <w:szCs w:val="28"/>
          <w:lang w:val="nl-NL"/>
        </w:rPr>
        <w:t xml:space="preserve"> và ý kiến kiến của</w:t>
      </w:r>
      <w:r>
        <w:rPr>
          <w:rFonts w:ascii="Times New Roman" w:hAnsi="Times New Roman"/>
          <w:sz w:val="28"/>
          <w:szCs w:val="28"/>
          <w:lang w:val="nl-NL"/>
        </w:rPr>
        <w:t xml:space="preserve"> EVN (là đối tượng nhận bàn giao)</w:t>
      </w:r>
      <w:r w:rsidR="007B14DB">
        <w:rPr>
          <w:rFonts w:ascii="Times New Roman" w:hAnsi="Times New Roman"/>
          <w:sz w:val="28"/>
          <w:szCs w:val="28"/>
          <w:lang w:val="nl-NL"/>
        </w:rPr>
        <w:t xml:space="preserve"> tại công văn số 5246/EVN-KD ngày 30/9/2019</w:t>
      </w:r>
      <w:r>
        <w:rPr>
          <w:rFonts w:ascii="Times New Roman" w:hAnsi="Times New Roman"/>
          <w:sz w:val="28"/>
          <w:szCs w:val="28"/>
          <w:lang w:val="nl-NL"/>
        </w:rPr>
        <w:t xml:space="preserve">, Bộ Tài chính đã </w:t>
      </w:r>
      <w:r w:rsidR="007B14DB">
        <w:rPr>
          <w:rFonts w:ascii="Times New Roman" w:hAnsi="Times New Roman"/>
          <w:sz w:val="28"/>
          <w:szCs w:val="28"/>
          <w:lang w:val="nl-NL"/>
        </w:rPr>
        <w:t xml:space="preserve">tổng hợp ý kiến tham gia, giải trình và tiếp thu các ý kiến tham gia để </w:t>
      </w:r>
      <w:r>
        <w:rPr>
          <w:rFonts w:ascii="Times New Roman" w:hAnsi="Times New Roman"/>
          <w:sz w:val="28"/>
          <w:szCs w:val="28"/>
          <w:lang w:val="nl-NL"/>
        </w:rPr>
        <w:t>hoàn chỉnh</w:t>
      </w:r>
      <w:r w:rsidRPr="005A79EA">
        <w:rPr>
          <w:rFonts w:ascii="Times New Roman" w:hAnsi="Times New Roman"/>
          <w:sz w:val="28"/>
          <w:szCs w:val="28"/>
          <w:lang w:val="nl-NL"/>
        </w:rPr>
        <w:t xml:space="preserve"> dự thảo Quyết định</w:t>
      </w:r>
      <w:r>
        <w:rPr>
          <w:rFonts w:ascii="Times New Roman" w:hAnsi="Times New Roman"/>
          <w:sz w:val="28"/>
          <w:szCs w:val="28"/>
          <w:lang w:val="nl-NL"/>
        </w:rPr>
        <w:t xml:space="preserve"> của Thủ tướng Chính phủ</w:t>
      </w:r>
      <w:r w:rsidR="007B14DB">
        <w:rPr>
          <w:rFonts w:ascii="Times New Roman" w:hAnsi="Times New Roman"/>
          <w:sz w:val="28"/>
          <w:szCs w:val="28"/>
          <w:lang w:val="nl-NL"/>
        </w:rPr>
        <w:t>.</w:t>
      </w:r>
      <w:r>
        <w:rPr>
          <w:rFonts w:ascii="Times New Roman" w:hAnsi="Times New Roman"/>
          <w:sz w:val="28"/>
          <w:szCs w:val="28"/>
          <w:lang w:val="nl-NL"/>
        </w:rPr>
        <w:t xml:space="preserve"> </w:t>
      </w:r>
    </w:p>
    <w:p w:rsidR="0002653C" w:rsidRDefault="0002653C" w:rsidP="007B14DB">
      <w:pPr>
        <w:spacing w:before="120" w:after="120" w:line="240" w:lineRule="auto"/>
        <w:ind w:firstLine="720"/>
        <w:jc w:val="both"/>
        <w:rPr>
          <w:rFonts w:ascii="Times New Roman" w:hAnsi="Times New Roman"/>
          <w:sz w:val="28"/>
          <w:szCs w:val="28"/>
          <w:lang w:val="nl-NL"/>
        </w:rPr>
      </w:pPr>
      <w:r>
        <w:rPr>
          <w:rFonts w:ascii="Times New Roman" w:hAnsi="Times New Roman"/>
          <w:sz w:val="28"/>
          <w:szCs w:val="28"/>
          <w:lang w:val="nl-NL"/>
        </w:rPr>
        <w:t xml:space="preserve">3. Bố cục dự thảo Dự thảo Quyết định hướng dẫn việc bàn giao, tiếp nhận vốn, tài sản và hoàn trả vốn đối với các dự án </w:t>
      </w:r>
      <w:r w:rsidR="007B14DB">
        <w:rPr>
          <w:rFonts w:ascii="Times New Roman" w:hAnsi="Times New Roman"/>
          <w:sz w:val="28"/>
          <w:szCs w:val="28"/>
          <w:lang w:val="nl-NL"/>
        </w:rPr>
        <w:t>thành phần thuộc Chương trình cấp điện nông thôn, miền núi và hải đảo giai đoạn 2013 - 2020</w:t>
      </w:r>
      <w:r>
        <w:rPr>
          <w:rFonts w:ascii="Times New Roman" w:hAnsi="Times New Roman"/>
          <w:sz w:val="28"/>
          <w:szCs w:val="28"/>
          <w:lang w:val="nl-NL"/>
        </w:rPr>
        <w:t xml:space="preserve"> gồm 03 Chương và 12 Điều</w:t>
      </w:r>
      <w:r w:rsidR="007B14DB">
        <w:rPr>
          <w:rFonts w:ascii="Times New Roman" w:hAnsi="Times New Roman"/>
          <w:sz w:val="28"/>
          <w:szCs w:val="28"/>
          <w:lang w:val="nl-NL"/>
        </w:rPr>
        <w:t>,</w:t>
      </w:r>
      <w:r>
        <w:rPr>
          <w:rFonts w:ascii="Times New Roman" w:hAnsi="Times New Roman"/>
          <w:sz w:val="28"/>
          <w:szCs w:val="28"/>
          <w:lang w:val="nl-NL"/>
        </w:rPr>
        <w:t xml:space="preserve"> cụ thể như sau:</w:t>
      </w:r>
    </w:p>
    <w:p w:rsidR="0002653C" w:rsidRPr="00402A66" w:rsidRDefault="0002653C" w:rsidP="007B14DB">
      <w:pPr>
        <w:spacing w:before="120" w:after="120" w:line="240" w:lineRule="auto"/>
        <w:ind w:firstLine="550"/>
        <w:jc w:val="both"/>
        <w:rPr>
          <w:rFonts w:ascii="Times New Roman" w:hAnsi="Times New Roman"/>
          <w:sz w:val="28"/>
          <w:szCs w:val="28"/>
          <w:lang w:val="nl-NL"/>
        </w:rPr>
      </w:pPr>
      <w:r w:rsidRPr="00402A66">
        <w:rPr>
          <w:rFonts w:ascii="Times New Roman" w:hAnsi="Times New Roman"/>
          <w:iCs/>
          <w:sz w:val="28"/>
          <w:lang w:val="en-US"/>
        </w:rPr>
        <w:t>Chương I</w:t>
      </w:r>
      <w:r w:rsidRPr="00402A66">
        <w:rPr>
          <w:rFonts w:ascii="Times New Roman" w:hAnsi="Times New Roman"/>
          <w:sz w:val="28"/>
          <w:szCs w:val="28"/>
          <w:lang w:val="nl-NL"/>
        </w:rPr>
        <w:t xml:space="preserve">: Quy định </w:t>
      </w:r>
      <w:proofErr w:type="gramStart"/>
      <w:r w:rsidRPr="00402A66">
        <w:rPr>
          <w:rFonts w:ascii="Times New Roman" w:hAnsi="Times New Roman"/>
          <w:sz w:val="28"/>
          <w:szCs w:val="28"/>
          <w:lang w:val="nl-NL"/>
        </w:rPr>
        <w:t>chung</w:t>
      </w:r>
      <w:proofErr w:type="gramEnd"/>
    </w:p>
    <w:p w:rsidR="0002653C" w:rsidRDefault="0002653C" w:rsidP="007B14DB">
      <w:pPr>
        <w:spacing w:before="120" w:after="120" w:line="240" w:lineRule="auto"/>
        <w:jc w:val="both"/>
        <w:rPr>
          <w:rFonts w:ascii="Times New Roman" w:hAnsi="Times New Roman"/>
          <w:bCs/>
          <w:sz w:val="28"/>
          <w:szCs w:val="28"/>
          <w:lang w:val="en-US"/>
        </w:rPr>
      </w:pPr>
      <w:r w:rsidRPr="00402A66">
        <w:rPr>
          <w:rFonts w:ascii="Times New Roman" w:hAnsi="Times New Roman"/>
          <w:bCs/>
          <w:sz w:val="28"/>
          <w:lang w:val="en-US"/>
        </w:rPr>
        <w:t xml:space="preserve">        </w:t>
      </w:r>
      <w:proofErr w:type="gramStart"/>
      <w:r>
        <w:rPr>
          <w:rFonts w:ascii="Times New Roman" w:hAnsi="Times New Roman"/>
          <w:bCs/>
          <w:sz w:val="28"/>
          <w:lang w:val="en-US"/>
        </w:rPr>
        <w:t xml:space="preserve">- </w:t>
      </w:r>
      <w:r w:rsidRPr="00402A66">
        <w:rPr>
          <w:rFonts w:ascii="Times New Roman" w:hAnsi="Times New Roman"/>
          <w:bCs/>
          <w:sz w:val="28"/>
          <w:szCs w:val="28"/>
        </w:rPr>
        <w:t>Điều 1.</w:t>
      </w:r>
      <w:proofErr w:type="gramEnd"/>
      <w:r>
        <w:rPr>
          <w:rFonts w:ascii="Times New Roman" w:hAnsi="Times New Roman"/>
          <w:bCs/>
          <w:sz w:val="28"/>
          <w:szCs w:val="28"/>
          <w:lang w:val="en-US"/>
        </w:rPr>
        <w:t xml:space="preserve"> Phạm </w:t>
      </w:r>
      <w:proofErr w:type="gramStart"/>
      <w:r>
        <w:rPr>
          <w:rFonts w:ascii="Times New Roman" w:hAnsi="Times New Roman"/>
          <w:bCs/>
          <w:sz w:val="28"/>
          <w:szCs w:val="28"/>
          <w:lang w:val="en-US"/>
        </w:rPr>
        <w:t>vi</w:t>
      </w:r>
      <w:proofErr w:type="gramEnd"/>
      <w:r>
        <w:rPr>
          <w:rFonts w:ascii="Times New Roman" w:hAnsi="Times New Roman"/>
          <w:bCs/>
          <w:sz w:val="28"/>
          <w:szCs w:val="28"/>
          <w:lang w:val="en-US"/>
        </w:rPr>
        <w:t xml:space="preserve"> </w:t>
      </w:r>
      <w:r w:rsidRPr="00402A66">
        <w:rPr>
          <w:rFonts w:ascii="Times New Roman" w:hAnsi="Times New Roman"/>
          <w:bCs/>
          <w:sz w:val="28"/>
          <w:szCs w:val="28"/>
          <w:lang w:val="en-US"/>
        </w:rPr>
        <w:t>điều chỉnh</w:t>
      </w:r>
    </w:p>
    <w:p w:rsidR="0002653C" w:rsidRDefault="0002653C" w:rsidP="007B14DB">
      <w:pPr>
        <w:tabs>
          <w:tab w:val="left" w:pos="0"/>
        </w:tabs>
        <w:spacing w:before="120" w:after="120" w:line="240" w:lineRule="auto"/>
        <w:jc w:val="both"/>
        <w:rPr>
          <w:rFonts w:ascii="Times New Roman" w:hAnsi="Times New Roman"/>
          <w:sz w:val="28"/>
          <w:szCs w:val="28"/>
          <w:lang w:val="en-GB"/>
        </w:rPr>
      </w:pPr>
      <w:r>
        <w:rPr>
          <w:rFonts w:ascii="Times New Roman" w:hAnsi="Times New Roman"/>
          <w:iCs/>
          <w:sz w:val="28"/>
          <w:szCs w:val="28"/>
          <w:lang w:val="en-GB"/>
        </w:rPr>
        <w:t xml:space="preserve">        </w:t>
      </w:r>
      <w:proofErr w:type="gramStart"/>
      <w:r>
        <w:rPr>
          <w:rFonts w:ascii="Times New Roman" w:hAnsi="Times New Roman"/>
          <w:iCs/>
          <w:sz w:val="28"/>
          <w:szCs w:val="28"/>
          <w:lang w:val="en-GB"/>
        </w:rPr>
        <w:t xml:space="preserve">- </w:t>
      </w:r>
      <w:r w:rsidRPr="00402A66">
        <w:rPr>
          <w:rFonts w:ascii="Times New Roman" w:hAnsi="Times New Roman"/>
          <w:sz w:val="28"/>
          <w:szCs w:val="28"/>
          <w:lang w:val="en-GB"/>
        </w:rPr>
        <w:t>Đi</w:t>
      </w:r>
      <w:r>
        <w:rPr>
          <w:rFonts w:ascii="Times New Roman" w:hAnsi="Times New Roman"/>
          <w:sz w:val="28"/>
          <w:szCs w:val="28"/>
          <w:lang w:val="en-GB"/>
        </w:rPr>
        <w:t>ều 2.</w:t>
      </w:r>
      <w:proofErr w:type="gramEnd"/>
      <w:r>
        <w:rPr>
          <w:rFonts w:ascii="Times New Roman" w:hAnsi="Times New Roman"/>
          <w:sz w:val="28"/>
          <w:szCs w:val="28"/>
          <w:lang w:val="en-GB"/>
        </w:rPr>
        <w:t xml:space="preserve"> Đối tượng áp dụng</w:t>
      </w:r>
    </w:p>
    <w:p w:rsidR="0002653C" w:rsidRPr="006F7649" w:rsidRDefault="0002653C" w:rsidP="007B14DB">
      <w:pPr>
        <w:spacing w:before="120" w:after="120" w:line="240" w:lineRule="auto"/>
        <w:ind w:firstLine="567"/>
        <w:jc w:val="both"/>
        <w:rPr>
          <w:rFonts w:ascii="Times New Roman" w:hAnsi="Times New Roman"/>
          <w:sz w:val="28"/>
          <w:szCs w:val="28"/>
        </w:rPr>
      </w:pPr>
      <w:proofErr w:type="gramStart"/>
      <w:r>
        <w:rPr>
          <w:rFonts w:ascii="Times New Roman" w:hAnsi="Times New Roman"/>
          <w:bCs/>
          <w:sz w:val="28"/>
          <w:szCs w:val="28"/>
          <w:lang w:val="en-GB"/>
        </w:rPr>
        <w:t xml:space="preserve">- </w:t>
      </w:r>
      <w:r w:rsidRPr="00402A66">
        <w:rPr>
          <w:rFonts w:ascii="Times New Roman" w:hAnsi="Times New Roman"/>
          <w:bCs/>
          <w:sz w:val="28"/>
          <w:szCs w:val="28"/>
        </w:rPr>
        <w:t>Điều 3.</w:t>
      </w:r>
      <w:proofErr w:type="gramEnd"/>
      <w:r w:rsidRPr="00402A66">
        <w:rPr>
          <w:rFonts w:ascii="Times New Roman" w:hAnsi="Times New Roman"/>
          <w:sz w:val="28"/>
          <w:szCs w:val="28"/>
        </w:rPr>
        <w:t xml:space="preserve"> Giải thích từ ngữ</w:t>
      </w:r>
    </w:p>
    <w:p w:rsidR="0002653C" w:rsidRPr="006F7649" w:rsidRDefault="0002653C" w:rsidP="007B14DB">
      <w:pPr>
        <w:spacing w:before="120" w:after="120" w:line="240" w:lineRule="auto"/>
        <w:ind w:firstLine="567"/>
        <w:jc w:val="both"/>
        <w:rPr>
          <w:rFonts w:ascii="Times New Roman" w:hAnsi="Times New Roman"/>
          <w:sz w:val="28"/>
          <w:szCs w:val="28"/>
        </w:rPr>
      </w:pPr>
      <w:r w:rsidRPr="006F7649">
        <w:rPr>
          <w:rFonts w:ascii="Times New Roman" w:hAnsi="Times New Roman"/>
          <w:sz w:val="28"/>
        </w:rPr>
        <w:t>Chương II</w:t>
      </w:r>
      <w:r w:rsidRPr="006F7649">
        <w:rPr>
          <w:rFonts w:ascii="Times New Roman" w:hAnsi="Times New Roman"/>
          <w:sz w:val="28"/>
          <w:szCs w:val="28"/>
        </w:rPr>
        <w:t xml:space="preserve">: </w:t>
      </w:r>
      <w:r w:rsidRPr="006F7649">
        <w:rPr>
          <w:rFonts w:ascii="Times New Roman" w:hAnsi="Times New Roman"/>
          <w:sz w:val="28"/>
        </w:rPr>
        <w:t>Quy định cụ thể</w:t>
      </w:r>
      <w:r w:rsidRPr="006F7649">
        <w:rPr>
          <w:rFonts w:ascii="Times New Roman" w:hAnsi="Times New Roman"/>
          <w:sz w:val="28"/>
        </w:rPr>
        <w:tab/>
      </w:r>
    </w:p>
    <w:p w:rsidR="0002653C" w:rsidRPr="007B14DB" w:rsidRDefault="0002653C" w:rsidP="007B14DB">
      <w:pPr>
        <w:spacing w:before="120" w:after="120" w:line="240" w:lineRule="auto"/>
        <w:jc w:val="both"/>
        <w:rPr>
          <w:rFonts w:ascii="Times New Roman" w:hAnsi="Times New Roman"/>
          <w:sz w:val="28"/>
          <w:szCs w:val="28"/>
        </w:rPr>
      </w:pPr>
      <w:r w:rsidRPr="006F7649">
        <w:rPr>
          <w:rFonts w:ascii="Times New Roman" w:hAnsi="Times New Roman"/>
        </w:rPr>
        <w:t xml:space="preserve">          </w:t>
      </w:r>
      <w:r w:rsidRPr="006F7649">
        <w:rPr>
          <w:rFonts w:ascii="Times New Roman" w:hAnsi="Times New Roman"/>
          <w:b/>
        </w:rPr>
        <w:t>-</w:t>
      </w:r>
      <w:r w:rsidRPr="006F7649">
        <w:rPr>
          <w:rFonts w:ascii="Times New Roman" w:hAnsi="Times New Roman"/>
        </w:rPr>
        <w:t xml:space="preserve"> </w:t>
      </w:r>
      <w:r w:rsidRPr="00402A66">
        <w:rPr>
          <w:rFonts w:ascii="Times New Roman" w:hAnsi="Times New Roman"/>
          <w:sz w:val="28"/>
          <w:szCs w:val="28"/>
        </w:rPr>
        <w:t>Điều 4. Trình tự, thủ tục bàn giao, tiếp nhận vốn, tài sản và hoàn trả vốn đối với các dự án cấp điện nông thôn</w:t>
      </w:r>
      <w:r w:rsidR="007B14DB" w:rsidRPr="007B14DB">
        <w:rPr>
          <w:rFonts w:ascii="Times New Roman" w:hAnsi="Times New Roman"/>
          <w:sz w:val="28"/>
          <w:szCs w:val="28"/>
        </w:rPr>
        <w:t>, miền núi và hải đảo</w:t>
      </w:r>
    </w:p>
    <w:p w:rsidR="0002653C" w:rsidRPr="00402A66" w:rsidRDefault="0002653C" w:rsidP="007B14DB">
      <w:pPr>
        <w:spacing w:before="120" w:after="120" w:line="240" w:lineRule="auto"/>
        <w:ind w:left="-180"/>
        <w:rPr>
          <w:rFonts w:ascii="Times New Roman" w:hAnsi="Times New Roman"/>
          <w:color w:val="000000"/>
          <w:sz w:val="28"/>
          <w:szCs w:val="28"/>
          <w:lang w:val="es-ES"/>
        </w:rPr>
      </w:pPr>
      <w:r w:rsidRPr="00402A66">
        <w:rPr>
          <w:rFonts w:ascii="Times New Roman" w:hAnsi="Times New Roman"/>
          <w:color w:val="000000"/>
          <w:sz w:val="28"/>
          <w:szCs w:val="28"/>
          <w:lang w:val="es-ES"/>
        </w:rPr>
        <w:tab/>
      </w:r>
      <w:r>
        <w:rPr>
          <w:rFonts w:ascii="Times New Roman" w:hAnsi="Times New Roman"/>
          <w:color w:val="000000"/>
          <w:sz w:val="28"/>
          <w:szCs w:val="28"/>
          <w:lang w:val="es-ES"/>
        </w:rPr>
        <w:t xml:space="preserve">        - </w:t>
      </w:r>
      <w:r w:rsidRPr="00402A66">
        <w:rPr>
          <w:rFonts w:ascii="Times New Roman" w:hAnsi="Times New Roman"/>
          <w:color w:val="000000"/>
          <w:sz w:val="28"/>
          <w:szCs w:val="28"/>
          <w:lang w:val="es-ES"/>
        </w:rPr>
        <w:t xml:space="preserve">Điều 5. </w:t>
      </w:r>
      <w:r w:rsidR="007B14DB">
        <w:rPr>
          <w:rFonts w:ascii="Times New Roman" w:hAnsi="Times New Roman"/>
          <w:color w:val="000000"/>
          <w:sz w:val="28"/>
          <w:szCs w:val="28"/>
          <w:lang w:val="es-ES"/>
        </w:rPr>
        <w:t>Xác định giá trị của tài sản giao nhận dự án cấp điện nông tôn, miền núi và hải đảo</w:t>
      </w:r>
    </w:p>
    <w:p w:rsidR="0002653C" w:rsidRDefault="0002653C" w:rsidP="007B14DB">
      <w:pPr>
        <w:tabs>
          <w:tab w:val="left" w:pos="660"/>
        </w:tabs>
        <w:spacing w:before="120" w:after="120" w:line="240" w:lineRule="auto"/>
        <w:ind w:left="-90"/>
        <w:jc w:val="both"/>
        <w:rPr>
          <w:color w:val="000000"/>
          <w:sz w:val="28"/>
          <w:szCs w:val="28"/>
          <w:lang w:val="es-ES"/>
        </w:rPr>
      </w:pPr>
      <w:r>
        <w:rPr>
          <w:rFonts w:ascii="Times New Roman" w:hAnsi="Times New Roman"/>
          <w:sz w:val="28"/>
          <w:szCs w:val="28"/>
          <w:lang w:val="es-ES"/>
        </w:rPr>
        <w:t xml:space="preserve">         - </w:t>
      </w:r>
      <w:r w:rsidRPr="00402A66">
        <w:rPr>
          <w:rFonts w:ascii="Times New Roman" w:hAnsi="Times New Roman"/>
          <w:sz w:val="28"/>
          <w:szCs w:val="28"/>
          <w:lang w:val="es-ES"/>
        </w:rPr>
        <w:t xml:space="preserve">Điều 6. </w:t>
      </w:r>
      <w:r w:rsidR="007B14DB">
        <w:rPr>
          <w:rFonts w:ascii="Times New Roman" w:hAnsi="Times New Roman"/>
          <w:color w:val="000000"/>
          <w:sz w:val="28"/>
          <w:szCs w:val="28"/>
          <w:lang w:val="es-ES"/>
        </w:rPr>
        <w:t>Nguyên tắc xử lý và hoàn trả vốn đầu tư của dự án cấp điện nông thôn, miền núi và hải đảo khi thực hiện bàn giao</w:t>
      </w:r>
    </w:p>
    <w:p w:rsidR="0002653C" w:rsidRPr="001B291B" w:rsidRDefault="0002653C" w:rsidP="007B14DB">
      <w:pPr>
        <w:tabs>
          <w:tab w:val="left" w:pos="660"/>
        </w:tabs>
        <w:spacing w:before="120" w:after="120" w:line="240" w:lineRule="auto"/>
        <w:ind w:left="-90"/>
        <w:jc w:val="both"/>
        <w:rPr>
          <w:rFonts w:ascii="Times New Roman" w:hAnsi="Times New Roman"/>
          <w:color w:val="000000"/>
          <w:sz w:val="28"/>
          <w:szCs w:val="28"/>
          <w:lang w:val="es-ES"/>
        </w:rPr>
      </w:pPr>
      <w:r>
        <w:rPr>
          <w:rFonts w:ascii="Times New Roman" w:hAnsi="Times New Roman"/>
          <w:sz w:val="28"/>
          <w:szCs w:val="28"/>
          <w:lang w:val="es-ES"/>
        </w:rPr>
        <w:t xml:space="preserve">         - </w:t>
      </w:r>
      <w:r w:rsidRPr="001B291B">
        <w:rPr>
          <w:rFonts w:ascii="Times New Roman" w:hAnsi="Times New Roman"/>
          <w:color w:val="000000"/>
          <w:sz w:val="28"/>
          <w:szCs w:val="28"/>
          <w:lang w:val="es-ES"/>
        </w:rPr>
        <w:t xml:space="preserve">Điều 7. </w:t>
      </w:r>
      <w:r w:rsidR="007B14DB">
        <w:rPr>
          <w:rFonts w:ascii="Times New Roman" w:hAnsi="Times New Roman"/>
          <w:color w:val="000000"/>
          <w:sz w:val="28"/>
          <w:szCs w:val="28"/>
          <w:lang w:val="es-ES"/>
        </w:rPr>
        <w:t>Xử lý đất gắn liền với dự án cấp điện nông thôn, miền núi và hải đảo được bàn giao</w:t>
      </w:r>
    </w:p>
    <w:p w:rsidR="0002653C" w:rsidRDefault="0002653C" w:rsidP="007B14DB">
      <w:pPr>
        <w:spacing w:before="120" w:after="120" w:line="240" w:lineRule="auto"/>
        <w:ind w:left="-90"/>
        <w:jc w:val="both"/>
        <w:rPr>
          <w:rFonts w:ascii="Times New Roman" w:hAnsi="Times New Roman"/>
          <w:color w:val="000000"/>
          <w:sz w:val="28"/>
          <w:szCs w:val="28"/>
          <w:lang w:val="es-ES"/>
        </w:rPr>
      </w:pPr>
      <w:r w:rsidRPr="001B291B">
        <w:rPr>
          <w:rFonts w:ascii="Times New Roman" w:hAnsi="Times New Roman"/>
          <w:sz w:val="28"/>
          <w:szCs w:val="28"/>
          <w:lang w:val="es-ES"/>
        </w:rPr>
        <w:tab/>
        <w:t xml:space="preserve">        </w:t>
      </w:r>
      <w:r>
        <w:rPr>
          <w:rFonts w:ascii="Times New Roman" w:hAnsi="Times New Roman"/>
          <w:sz w:val="28"/>
          <w:szCs w:val="28"/>
          <w:lang w:val="es-ES"/>
        </w:rPr>
        <w:t xml:space="preserve">- </w:t>
      </w:r>
      <w:r w:rsidRPr="001B291B">
        <w:rPr>
          <w:rFonts w:ascii="Times New Roman" w:hAnsi="Times New Roman"/>
          <w:color w:val="000000"/>
          <w:sz w:val="28"/>
          <w:szCs w:val="28"/>
          <w:lang w:val="es-ES"/>
        </w:rPr>
        <w:t xml:space="preserve">Điều 8. </w:t>
      </w:r>
      <w:r w:rsidR="007B14DB">
        <w:rPr>
          <w:rFonts w:ascii="Times New Roman" w:hAnsi="Times New Roman"/>
          <w:color w:val="000000"/>
          <w:sz w:val="28"/>
          <w:szCs w:val="28"/>
          <w:lang w:val="es-ES"/>
        </w:rPr>
        <w:t>Chi phí cho hoạt động giao nhận</w:t>
      </w:r>
      <w:r w:rsidRPr="001B291B">
        <w:rPr>
          <w:rFonts w:ascii="Times New Roman" w:hAnsi="Times New Roman"/>
          <w:color w:val="000000"/>
          <w:sz w:val="28"/>
          <w:szCs w:val="28"/>
          <w:lang w:val="es-ES"/>
        </w:rPr>
        <w:t xml:space="preserve"> </w:t>
      </w:r>
    </w:p>
    <w:p w:rsidR="0002653C" w:rsidRPr="00402A66" w:rsidRDefault="0002653C" w:rsidP="007B14DB">
      <w:pPr>
        <w:pStyle w:val="NormalWeb"/>
        <w:spacing w:before="120" w:beforeAutospacing="0" w:after="120" w:afterAutospacing="0"/>
        <w:ind w:firstLine="567"/>
        <w:jc w:val="both"/>
        <w:rPr>
          <w:color w:val="000000"/>
          <w:sz w:val="28"/>
          <w:szCs w:val="28"/>
          <w:lang w:val="es-ES"/>
        </w:rPr>
      </w:pPr>
      <w:r>
        <w:rPr>
          <w:color w:val="000000"/>
          <w:sz w:val="28"/>
          <w:szCs w:val="28"/>
          <w:lang w:val="es-ES"/>
        </w:rPr>
        <w:t xml:space="preserve">- </w:t>
      </w:r>
      <w:r w:rsidRPr="00402A66">
        <w:rPr>
          <w:color w:val="000000"/>
          <w:sz w:val="28"/>
          <w:szCs w:val="28"/>
          <w:lang w:val="es-ES"/>
        </w:rPr>
        <w:t xml:space="preserve">Điều 9. </w:t>
      </w:r>
      <w:r w:rsidR="007B14DB">
        <w:rPr>
          <w:color w:val="000000"/>
          <w:sz w:val="28"/>
          <w:szCs w:val="28"/>
          <w:lang w:val="es-ES"/>
        </w:rPr>
        <w:t>Trách nhiệm của Bên giao và Bên nhận</w:t>
      </w:r>
    </w:p>
    <w:p w:rsidR="0002653C" w:rsidRPr="00402A66" w:rsidRDefault="0002653C" w:rsidP="007B14DB">
      <w:pPr>
        <w:pStyle w:val="NormalWeb"/>
        <w:spacing w:before="120" w:beforeAutospacing="0" w:after="120" w:afterAutospacing="0"/>
        <w:ind w:firstLine="567"/>
        <w:jc w:val="both"/>
        <w:rPr>
          <w:sz w:val="28"/>
          <w:szCs w:val="28"/>
          <w:lang w:val="es-ES"/>
        </w:rPr>
      </w:pPr>
      <w:r>
        <w:rPr>
          <w:bCs/>
          <w:sz w:val="28"/>
          <w:szCs w:val="28"/>
          <w:lang w:val="es-ES"/>
        </w:rPr>
        <w:t xml:space="preserve">- </w:t>
      </w:r>
      <w:r w:rsidRPr="00402A66">
        <w:rPr>
          <w:bCs/>
          <w:sz w:val="28"/>
          <w:szCs w:val="28"/>
          <w:lang w:val="es-ES"/>
        </w:rPr>
        <w:t>Điều 10. </w:t>
      </w:r>
      <w:r w:rsidR="009C46B3">
        <w:rPr>
          <w:bCs/>
          <w:sz w:val="28"/>
          <w:szCs w:val="28"/>
          <w:lang w:val="es-ES"/>
        </w:rPr>
        <w:t>Điều khoản chuyển tiếp</w:t>
      </w:r>
      <w:r w:rsidRPr="00402A66">
        <w:rPr>
          <w:bCs/>
          <w:sz w:val="28"/>
          <w:szCs w:val="28"/>
          <w:lang w:val="es-ES"/>
        </w:rPr>
        <w:t> </w:t>
      </w:r>
    </w:p>
    <w:p w:rsidR="0002653C" w:rsidRPr="00402A66" w:rsidRDefault="0002653C" w:rsidP="007B14DB">
      <w:pPr>
        <w:pStyle w:val="NormalWeb"/>
        <w:spacing w:before="120" w:beforeAutospacing="0" w:after="120" w:afterAutospacing="0"/>
        <w:ind w:firstLine="567"/>
        <w:jc w:val="both"/>
        <w:rPr>
          <w:sz w:val="28"/>
          <w:szCs w:val="28"/>
          <w:lang w:val="es-ES"/>
        </w:rPr>
      </w:pPr>
      <w:r w:rsidRPr="00402A66">
        <w:rPr>
          <w:bCs/>
          <w:sz w:val="28"/>
          <w:szCs w:val="28"/>
          <w:lang w:val="es-ES"/>
        </w:rPr>
        <w:t>Chương III: Tổ chức thực hiện</w:t>
      </w:r>
    </w:p>
    <w:p w:rsidR="0002653C" w:rsidRPr="00402A66" w:rsidRDefault="0002653C" w:rsidP="007B14DB">
      <w:pPr>
        <w:spacing w:before="120" w:after="120" w:line="240" w:lineRule="auto"/>
        <w:jc w:val="both"/>
        <w:rPr>
          <w:rFonts w:ascii="Times New Roman" w:hAnsi="Times New Roman"/>
          <w:sz w:val="28"/>
          <w:szCs w:val="28"/>
          <w:lang w:val="es-ES"/>
        </w:rPr>
      </w:pPr>
      <w:r w:rsidRPr="00402A66">
        <w:rPr>
          <w:rFonts w:ascii="Times New Roman" w:hAnsi="Times New Roman"/>
          <w:sz w:val="28"/>
          <w:lang w:val="es-ES"/>
        </w:rPr>
        <w:t xml:space="preserve">        </w:t>
      </w:r>
      <w:r>
        <w:rPr>
          <w:rFonts w:ascii="Times New Roman" w:hAnsi="Times New Roman"/>
          <w:sz w:val="28"/>
          <w:lang w:val="es-ES"/>
        </w:rPr>
        <w:t xml:space="preserve">- </w:t>
      </w:r>
      <w:r w:rsidRPr="00402A66">
        <w:rPr>
          <w:rFonts w:ascii="Times New Roman" w:hAnsi="Times New Roman"/>
          <w:sz w:val="28"/>
          <w:szCs w:val="28"/>
          <w:lang w:val="es-ES"/>
        </w:rPr>
        <w:t>Điều 11. Hiệu lực thi hành</w:t>
      </w:r>
    </w:p>
    <w:p w:rsidR="0002653C" w:rsidRPr="00AA085D" w:rsidRDefault="0002653C" w:rsidP="007B14DB">
      <w:pPr>
        <w:spacing w:before="120" w:after="120" w:line="240" w:lineRule="auto"/>
        <w:jc w:val="both"/>
        <w:rPr>
          <w:rFonts w:ascii="Times New Roman" w:hAnsi="Times New Roman"/>
          <w:sz w:val="28"/>
          <w:szCs w:val="28"/>
          <w:lang w:val="es-ES"/>
        </w:rPr>
      </w:pPr>
      <w:r w:rsidRPr="001B291B">
        <w:rPr>
          <w:rFonts w:ascii="Times New Roman" w:hAnsi="Times New Roman"/>
          <w:sz w:val="28"/>
          <w:szCs w:val="28"/>
          <w:lang w:val="es-ES"/>
        </w:rPr>
        <w:t xml:space="preserve">        </w:t>
      </w:r>
      <w:r>
        <w:rPr>
          <w:rFonts w:ascii="Times New Roman" w:hAnsi="Times New Roman"/>
          <w:sz w:val="28"/>
          <w:szCs w:val="28"/>
          <w:lang w:val="es-ES"/>
        </w:rPr>
        <w:t xml:space="preserve">- </w:t>
      </w:r>
      <w:r w:rsidRPr="001B291B">
        <w:rPr>
          <w:rFonts w:ascii="Times New Roman" w:hAnsi="Times New Roman"/>
          <w:color w:val="000000"/>
          <w:sz w:val="28"/>
          <w:szCs w:val="28"/>
          <w:lang w:val="es-ES"/>
        </w:rPr>
        <w:t>Điều 12. Trách nhiệm thi hành</w:t>
      </w:r>
    </w:p>
    <w:p w:rsidR="0002653C" w:rsidRPr="00E13E68" w:rsidRDefault="0002653C" w:rsidP="007B14DB">
      <w:pPr>
        <w:tabs>
          <w:tab w:val="left" w:pos="0"/>
        </w:tabs>
        <w:spacing w:before="120" w:after="120" w:line="240" w:lineRule="auto"/>
        <w:jc w:val="both"/>
        <w:rPr>
          <w:rFonts w:ascii="Times New Roman" w:hAnsi="Times New Roman"/>
          <w:b/>
          <w:sz w:val="28"/>
          <w:szCs w:val="28"/>
          <w:lang w:val="es-ES"/>
        </w:rPr>
      </w:pPr>
      <w:r>
        <w:rPr>
          <w:rFonts w:ascii="Times New Roman" w:hAnsi="Times New Roman"/>
          <w:sz w:val="28"/>
          <w:szCs w:val="28"/>
          <w:lang w:val="es-ES"/>
        </w:rPr>
        <w:t xml:space="preserve">        </w:t>
      </w:r>
      <w:r w:rsidRPr="00E13E68">
        <w:rPr>
          <w:rFonts w:ascii="Times New Roman" w:hAnsi="Times New Roman"/>
          <w:b/>
          <w:sz w:val="28"/>
          <w:szCs w:val="28"/>
          <w:lang w:val="es-ES"/>
        </w:rPr>
        <w:t>III. Những nội dung cơ bản tại Dự thảo Quyết định</w:t>
      </w:r>
    </w:p>
    <w:p w:rsidR="0002653C" w:rsidRPr="009C46B3" w:rsidRDefault="0002653C" w:rsidP="009C46B3">
      <w:pPr>
        <w:tabs>
          <w:tab w:val="left" w:pos="0"/>
        </w:tabs>
        <w:spacing w:before="120" w:after="120" w:line="240" w:lineRule="auto"/>
        <w:jc w:val="both"/>
        <w:rPr>
          <w:rFonts w:ascii="Times New Roman" w:hAnsi="Times New Roman"/>
          <w:iCs/>
          <w:sz w:val="28"/>
          <w:szCs w:val="28"/>
          <w:lang w:val="es-ES"/>
        </w:rPr>
      </w:pPr>
      <w:r w:rsidRPr="00EC5613">
        <w:rPr>
          <w:rFonts w:ascii="Times New Roman" w:hAnsi="Times New Roman"/>
          <w:sz w:val="28"/>
          <w:szCs w:val="28"/>
        </w:rPr>
        <w:t xml:space="preserve"> </w:t>
      </w:r>
      <w:r w:rsidRPr="00C96424">
        <w:rPr>
          <w:rFonts w:ascii="Times New Roman" w:hAnsi="Times New Roman"/>
          <w:sz w:val="28"/>
          <w:szCs w:val="28"/>
          <w:lang w:val="es-ES"/>
        </w:rPr>
        <w:t xml:space="preserve">       </w:t>
      </w:r>
      <w:r>
        <w:rPr>
          <w:rFonts w:ascii="Times New Roman" w:hAnsi="Times New Roman"/>
          <w:sz w:val="28"/>
          <w:szCs w:val="28"/>
          <w:lang w:val="es-ES"/>
        </w:rPr>
        <w:t>1.</w:t>
      </w:r>
      <w:r w:rsidR="00E72A5E">
        <w:rPr>
          <w:rFonts w:ascii="Times New Roman" w:hAnsi="Times New Roman"/>
          <w:sz w:val="28"/>
          <w:szCs w:val="28"/>
          <w:lang w:val="es-ES"/>
        </w:rPr>
        <w:t xml:space="preserve"> Phạm vi điều chỉnh:</w:t>
      </w:r>
      <w:r>
        <w:rPr>
          <w:rFonts w:ascii="Times New Roman" w:hAnsi="Times New Roman"/>
          <w:sz w:val="28"/>
          <w:szCs w:val="28"/>
          <w:lang w:val="es-ES"/>
        </w:rPr>
        <w:t xml:space="preserve"> </w:t>
      </w:r>
      <w:r w:rsidR="009C46B3" w:rsidRPr="009C46B3">
        <w:rPr>
          <w:rFonts w:ascii="Times New Roman" w:hAnsi="Times New Roman"/>
          <w:sz w:val="28"/>
          <w:szCs w:val="28"/>
          <w:lang w:val="es-ES"/>
        </w:rPr>
        <w:t xml:space="preserve">Quyết định này hướng dẫn việc bàn giao, tiếp nhận vốn, tài sản và hoàn trả vốn đối với các dự án thành phần thuộc Chương trình cấp điện nông thôn, miền núi và hải đảo từ nguồn điện lưới quốc gia theo Quyết định </w:t>
      </w:r>
      <w:r w:rsidR="009C46B3" w:rsidRPr="009C46B3">
        <w:rPr>
          <w:rFonts w:ascii="Times New Roman" w:hAnsi="Times New Roman"/>
          <w:iCs/>
          <w:sz w:val="28"/>
          <w:szCs w:val="28"/>
          <w:lang w:val="es-ES"/>
        </w:rPr>
        <w:t xml:space="preserve">số 2081/QĐ-TTg ngày 08/11/2013 của Thủ tướng Chính phủ phê duyệt Chương </w:t>
      </w:r>
      <w:r w:rsidR="009C46B3" w:rsidRPr="009C46B3">
        <w:rPr>
          <w:rFonts w:ascii="Times New Roman" w:hAnsi="Times New Roman"/>
          <w:iCs/>
          <w:sz w:val="28"/>
          <w:szCs w:val="28"/>
          <w:lang w:val="es-ES"/>
        </w:rPr>
        <w:lastRenderedPageBreak/>
        <w:t>trình cấp điện nông thôn, miền núi và hải đảo giai đoạn 2013-2020 (Quyết định số 2081/QĐ-TTg) và Quyết định số 1740/QĐ-TTg ngày 13/12/2018 của Thủ tướng Chính phủ phê duyệt Chương trình mục tiêu cấp điện nông thôn, miền núi và hải đảo giai đoạn 2016 - 2020 (Quyết định số 1740/QĐ-TTg).</w:t>
      </w:r>
    </w:p>
    <w:p w:rsidR="0002653C" w:rsidRDefault="0002653C" w:rsidP="007B14DB">
      <w:pPr>
        <w:spacing w:before="120" w:after="120" w:line="240" w:lineRule="auto"/>
        <w:ind w:firstLine="567"/>
        <w:jc w:val="both"/>
        <w:rPr>
          <w:rFonts w:ascii="Times New Roman" w:hAnsi="Times New Roman"/>
          <w:sz w:val="28"/>
          <w:lang w:val="es-ES"/>
        </w:rPr>
      </w:pPr>
      <w:r>
        <w:rPr>
          <w:rFonts w:ascii="Times New Roman" w:hAnsi="Times New Roman"/>
          <w:sz w:val="28"/>
          <w:lang w:val="es-ES"/>
        </w:rPr>
        <w:t>2</w:t>
      </w:r>
      <w:r w:rsidRPr="004D3BE5">
        <w:rPr>
          <w:rFonts w:ascii="Times New Roman" w:hAnsi="Times New Roman"/>
          <w:sz w:val="28"/>
          <w:lang w:val="es-ES"/>
        </w:rPr>
        <w:t xml:space="preserve">. </w:t>
      </w:r>
      <w:r>
        <w:rPr>
          <w:rFonts w:ascii="Times New Roman" w:hAnsi="Times New Roman"/>
          <w:sz w:val="28"/>
          <w:lang w:val="es-ES"/>
        </w:rPr>
        <w:t>Chủ thể giao nhận:</w:t>
      </w:r>
    </w:p>
    <w:p w:rsidR="0002653C" w:rsidRPr="004D3BE5" w:rsidRDefault="0002653C" w:rsidP="007B14DB">
      <w:pPr>
        <w:spacing w:before="120" w:after="120" w:line="240" w:lineRule="auto"/>
        <w:ind w:firstLine="567"/>
        <w:jc w:val="both"/>
        <w:rPr>
          <w:rFonts w:ascii="Times New Roman" w:hAnsi="Times New Roman"/>
          <w:sz w:val="28"/>
          <w:szCs w:val="28"/>
          <w:lang w:val="es-ES"/>
        </w:rPr>
      </w:pPr>
      <w:r>
        <w:rPr>
          <w:rFonts w:ascii="Times New Roman" w:hAnsi="Times New Roman"/>
          <w:sz w:val="28"/>
          <w:lang w:val="es-ES"/>
        </w:rPr>
        <w:t xml:space="preserve">- </w:t>
      </w:r>
      <w:r w:rsidRPr="004D3BE5">
        <w:rPr>
          <w:rFonts w:ascii="Times New Roman" w:hAnsi="Times New Roman"/>
          <w:sz w:val="28"/>
          <w:lang w:val="es-ES"/>
        </w:rPr>
        <w:t xml:space="preserve">Bên giao </w:t>
      </w:r>
      <w:r w:rsidRPr="009C46B3">
        <w:rPr>
          <w:rFonts w:ascii="Times New Roman" w:hAnsi="Times New Roman"/>
          <w:sz w:val="28"/>
          <w:lang w:val="es-ES"/>
        </w:rPr>
        <w:t xml:space="preserve">là </w:t>
      </w:r>
      <w:r w:rsidR="009C46B3" w:rsidRPr="009C46B3">
        <w:rPr>
          <w:rFonts w:ascii="Times New Roman" w:hAnsi="Times New Roman"/>
          <w:sz w:val="28"/>
          <w:lang w:val="es-ES"/>
        </w:rPr>
        <w:t xml:space="preserve">UBND các tỉnh/thành phố </w:t>
      </w:r>
      <w:r w:rsidR="009C46B3" w:rsidRPr="009C46B3">
        <w:rPr>
          <w:rFonts w:ascii="Times New Roman" w:hAnsi="Times New Roman"/>
          <w:sz w:val="28"/>
          <w:szCs w:val="28"/>
          <w:lang w:val="es-ES"/>
        </w:rPr>
        <w:t xml:space="preserve">trực thuộc trung ương </w:t>
      </w:r>
      <w:r w:rsidR="009C46B3" w:rsidRPr="009C46B3">
        <w:rPr>
          <w:rFonts w:ascii="Times New Roman" w:hAnsi="Times New Roman"/>
          <w:sz w:val="28"/>
          <w:lang w:val="es-ES"/>
        </w:rPr>
        <w:t xml:space="preserve">hoặc các đơn vị, tổ chức được UBND tỉnh/thành phố </w:t>
      </w:r>
      <w:r w:rsidR="009C46B3" w:rsidRPr="009C46B3">
        <w:rPr>
          <w:rFonts w:ascii="Times New Roman" w:hAnsi="Times New Roman"/>
          <w:sz w:val="28"/>
          <w:szCs w:val="28"/>
          <w:lang w:val="es-ES"/>
        </w:rPr>
        <w:t xml:space="preserve">trực thuộc trung ương </w:t>
      </w:r>
      <w:r w:rsidR="009C46B3" w:rsidRPr="009C46B3">
        <w:rPr>
          <w:rFonts w:ascii="Times New Roman" w:hAnsi="Times New Roman"/>
          <w:sz w:val="28"/>
          <w:lang w:val="es-ES"/>
        </w:rPr>
        <w:t>ủy quyền bàn giao các dự án cấp điện nông thôn, miền núi và hải đảo</w:t>
      </w:r>
      <w:r w:rsidRPr="009C46B3">
        <w:rPr>
          <w:rFonts w:ascii="Times New Roman" w:hAnsi="Times New Roman"/>
          <w:sz w:val="28"/>
          <w:szCs w:val="28"/>
          <w:lang w:val="es-ES"/>
        </w:rPr>
        <w:t>.</w:t>
      </w:r>
    </w:p>
    <w:p w:rsidR="0002653C" w:rsidRPr="009C46B3" w:rsidRDefault="0002653C" w:rsidP="007B14DB">
      <w:pPr>
        <w:spacing w:before="120" w:after="120" w:line="240" w:lineRule="auto"/>
        <w:ind w:firstLine="567"/>
        <w:jc w:val="both"/>
        <w:rPr>
          <w:rFonts w:ascii="Times New Roman" w:hAnsi="Times New Roman"/>
          <w:sz w:val="28"/>
          <w:szCs w:val="28"/>
          <w:lang w:val="es-ES"/>
        </w:rPr>
      </w:pPr>
      <w:r w:rsidRPr="004D3BE5">
        <w:rPr>
          <w:rFonts w:ascii="Times New Roman" w:hAnsi="Times New Roman"/>
          <w:sz w:val="28"/>
          <w:szCs w:val="28"/>
          <w:lang w:val="es-ES"/>
        </w:rPr>
        <w:t xml:space="preserve">- Bên nhận là </w:t>
      </w:r>
      <w:r w:rsidR="009C46B3" w:rsidRPr="009C46B3">
        <w:rPr>
          <w:rFonts w:ascii="Times New Roman" w:hAnsi="Times New Roman"/>
          <w:sz w:val="28"/>
          <w:lang w:val="es-ES"/>
        </w:rPr>
        <w:t xml:space="preserve">EVN, </w:t>
      </w:r>
      <w:r w:rsidR="009C46B3" w:rsidRPr="009C46B3">
        <w:rPr>
          <w:rFonts w:ascii="Times New Roman" w:hAnsi="Times New Roman"/>
          <w:sz w:val="28"/>
          <w:szCs w:val="28"/>
          <w:lang w:val="es-ES"/>
        </w:rPr>
        <w:t>c</w:t>
      </w:r>
      <w:r w:rsidR="009C46B3" w:rsidRPr="009C46B3">
        <w:rPr>
          <w:rFonts w:ascii="Times New Roman" w:hAnsi="Times New Roman"/>
          <w:sz w:val="28"/>
          <w:szCs w:val="28"/>
        </w:rPr>
        <w:t xml:space="preserve">ác Tổng công ty Điện lực thuộc </w:t>
      </w:r>
      <w:r w:rsidR="009C46B3" w:rsidRPr="009C46B3">
        <w:rPr>
          <w:rFonts w:ascii="Times New Roman" w:hAnsi="Times New Roman"/>
          <w:sz w:val="28"/>
          <w:szCs w:val="28"/>
          <w:lang w:val="es-ES"/>
        </w:rPr>
        <w:t>EVN</w:t>
      </w:r>
      <w:r w:rsidR="009C46B3" w:rsidRPr="009C46B3">
        <w:rPr>
          <w:rFonts w:ascii="Times New Roman" w:hAnsi="Times New Roman"/>
          <w:sz w:val="28"/>
          <w:szCs w:val="28"/>
        </w:rPr>
        <w:t xml:space="preserve"> hoặc các Công ty Điện lực được các Tổng công ty Điện lực ủy quyền</w:t>
      </w:r>
      <w:r w:rsidRPr="009C46B3">
        <w:rPr>
          <w:rFonts w:ascii="Times New Roman" w:hAnsi="Times New Roman"/>
          <w:sz w:val="28"/>
          <w:szCs w:val="28"/>
          <w:lang w:val="es-ES"/>
        </w:rPr>
        <w:t xml:space="preserve">.       </w:t>
      </w:r>
    </w:p>
    <w:p w:rsidR="00E72A5E" w:rsidRDefault="0002653C" w:rsidP="007B14DB">
      <w:pPr>
        <w:spacing w:before="120" w:after="120" w:line="240" w:lineRule="auto"/>
        <w:ind w:left="-90"/>
        <w:jc w:val="both"/>
        <w:rPr>
          <w:rFonts w:ascii="Times New Roman" w:hAnsi="Times New Roman"/>
          <w:color w:val="000000"/>
          <w:sz w:val="28"/>
          <w:szCs w:val="28"/>
          <w:lang w:val="es-ES"/>
        </w:rPr>
      </w:pPr>
      <w:r>
        <w:rPr>
          <w:rFonts w:ascii="Times New Roman" w:hAnsi="Times New Roman"/>
          <w:color w:val="000000"/>
          <w:sz w:val="28"/>
          <w:szCs w:val="28"/>
          <w:lang w:val="es-ES"/>
        </w:rPr>
        <w:tab/>
        <w:t xml:space="preserve">        3. </w:t>
      </w:r>
      <w:r w:rsidR="00E72A5E">
        <w:rPr>
          <w:rFonts w:ascii="Times New Roman" w:hAnsi="Times New Roman"/>
          <w:color w:val="000000"/>
          <w:sz w:val="28"/>
          <w:szCs w:val="28"/>
          <w:lang w:val="es-ES"/>
        </w:rPr>
        <w:t xml:space="preserve">Trình tự, thủ tục bàn giao: </w:t>
      </w:r>
    </w:p>
    <w:p w:rsidR="00E72A5E" w:rsidRDefault="00E72A5E" w:rsidP="007B14DB">
      <w:pPr>
        <w:spacing w:before="120" w:after="120" w:line="240" w:lineRule="auto"/>
        <w:ind w:firstLine="567"/>
        <w:jc w:val="both"/>
        <w:rPr>
          <w:rFonts w:ascii="Times New Roman" w:hAnsi="Times New Roman"/>
          <w:color w:val="000000"/>
          <w:sz w:val="28"/>
          <w:szCs w:val="28"/>
          <w:lang w:val="es-ES"/>
        </w:rPr>
      </w:pPr>
      <w:r>
        <w:rPr>
          <w:rFonts w:ascii="Times New Roman" w:hAnsi="Times New Roman"/>
          <w:color w:val="000000"/>
          <w:sz w:val="28"/>
          <w:szCs w:val="28"/>
          <w:lang w:val="es-ES"/>
        </w:rPr>
        <w:t xml:space="preserve">- Bên giao và bên nhận phải thực hiện kiểm kê tài sản bàn giao, lập hồ sơ bàn giao, tiếp nhận gồm có hồ sơ gốc và hồ sơ lập tại thời điểm </w:t>
      </w:r>
      <w:r w:rsidR="009C46B3">
        <w:rPr>
          <w:rFonts w:ascii="Times New Roman" w:hAnsi="Times New Roman"/>
          <w:color w:val="000000"/>
          <w:sz w:val="28"/>
          <w:szCs w:val="28"/>
          <w:lang w:val="es-ES"/>
        </w:rPr>
        <w:t>giao, nhận</w:t>
      </w:r>
      <w:r>
        <w:rPr>
          <w:rFonts w:ascii="Times New Roman" w:hAnsi="Times New Roman"/>
          <w:color w:val="000000"/>
          <w:sz w:val="28"/>
          <w:szCs w:val="28"/>
          <w:lang w:val="es-ES"/>
        </w:rPr>
        <w:t>.</w:t>
      </w:r>
    </w:p>
    <w:p w:rsidR="00FC7A94" w:rsidRDefault="00FC7A94" w:rsidP="007B14DB">
      <w:pPr>
        <w:spacing w:before="120" w:after="120" w:line="240" w:lineRule="auto"/>
        <w:ind w:firstLine="567"/>
        <w:jc w:val="both"/>
        <w:rPr>
          <w:rFonts w:ascii="Times New Roman" w:hAnsi="Times New Roman"/>
          <w:color w:val="000000"/>
          <w:sz w:val="28"/>
          <w:szCs w:val="28"/>
          <w:lang w:val="es-ES"/>
        </w:rPr>
      </w:pPr>
      <w:r>
        <w:rPr>
          <w:rFonts w:ascii="Times New Roman" w:hAnsi="Times New Roman"/>
          <w:color w:val="000000"/>
          <w:sz w:val="28"/>
          <w:szCs w:val="28"/>
          <w:lang w:val="es-ES"/>
        </w:rPr>
        <w:t>- Xác định cơ cấu các nguồn vốn đầu tư dự án cấp điện nông thôn, miền núi và hải đảo.</w:t>
      </w:r>
    </w:p>
    <w:p w:rsidR="00FC7A94" w:rsidRDefault="00FC7A94" w:rsidP="007B14DB">
      <w:pPr>
        <w:spacing w:before="120" w:after="120" w:line="240" w:lineRule="auto"/>
        <w:ind w:firstLine="567"/>
        <w:jc w:val="both"/>
        <w:rPr>
          <w:rFonts w:ascii="Times New Roman" w:hAnsi="Times New Roman"/>
          <w:color w:val="000000"/>
          <w:sz w:val="28"/>
          <w:szCs w:val="28"/>
          <w:lang w:val="es-ES"/>
        </w:rPr>
      </w:pPr>
      <w:r>
        <w:rPr>
          <w:rFonts w:ascii="Times New Roman" w:hAnsi="Times New Roman"/>
          <w:color w:val="000000"/>
          <w:sz w:val="28"/>
          <w:szCs w:val="28"/>
          <w:lang w:val="es-ES"/>
        </w:rPr>
        <w:t>- Thẩm định, phê duyệt giá trị còn lại của tài sản bàn giao, cơ cấu nguồn vốn đầu tư tài sản và tiến hành bàn giao.</w:t>
      </w:r>
    </w:p>
    <w:p w:rsidR="00FC7A94" w:rsidRDefault="00FC7A94" w:rsidP="007B14DB">
      <w:pPr>
        <w:spacing w:before="120" w:after="120" w:line="240" w:lineRule="auto"/>
        <w:ind w:firstLine="567"/>
        <w:jc w:val="both"/>
        <w:rPr>
          <w:rFonts w:ascii="Times New Roman" w:hAnsi="Times New Roman"/>
          <w:color w:val="000000"/>
          <w:sz w:val="28"/>
          <w:szCs w:val="28"/>
          <w:lang w:val="es-ES"/>
        </w:rPr>
      </w:pPr>
      <w:r>
        <w:rPr>
          <w:rFonts w:ascii="Times New Roman" w:hAnsi="Times New Roman"/>
          <w:color w:val="000000"/>
          <w:sz w:val="28"/>
          <w:szCs w:val="28"/>
          <w:lang w:val="es-ES"/>
        </w:rPr>
        <w:t>- Bên giao và Bên nhận thực hiện hạch toán tăng, giảm tài sản, nguồn vốn và tiến hàng hoàn trả vốn đầu tư theo quy định tại Quyết định này.</w:t>
      </w:r>
    </w:p>
    <w:p w:rsidR="00E72A5E" w:rsidRDefault="00E72A5E" w:rsidP="007B14DB">
      <w:pPr>
        <w:spacing w:before="120" w:after="120" w:line="240" w:lineRule="auto"/>
        <w:ind w:firstLine="567"/>
        <w:jc w:val="both"/>
        <w:rPr>
          <w:rFonts w:ascii="Times New Roman" w:hAnsi="Times New Roman"/>
          <w:color w:val="000000"/>
          <w:sz w:val="28"/>
          <w:szCs w:val="28"/>
          <w:lang w:val="es-ES"/>
        </w:rPr>
      </w:pPr>
      <w:r>
        <w:rPr>
          <w:rFonts w:ascii="Times New Roman" w:hAnsi="Times New Roman"/>
          <w:color w:val="000000"/>
          <w:sz w:val="28"/>
          <w:szCs w:val="28"/>
          <w:lang w:val="es-ES"/>
        </w:rPr>
        <w:t>4. Xác định giá trị của tài sản bàn giao:</w:t>
      </w:r>
    </w:p>
    <w:p w:rsidR="0002653C" w:rsidRDefault="0002653C" w:rsidP="007B14DB">
      <w:pPr>
        <w:spacing w:before="120" w:after="120" w:line="240" w:lineRule="auto"/>
        <w:ind w:left="-90"/>
        <w:jc w:val="both"/>
        <w:rPr>
          <w:rFonts w:ascii="Times New Roman" w:hAnsi="Times New Roman"/>
          <w:color w:val="000000"/>
          <w:sz w:val="28"/>
          <w:szCs w:val="28"/>
          <w:lang w:val="es-ES"/>
        </w:rPr>
      </w:pPr>
      <w:r>
        <w:rPr>
          <w:rFonts w:ascii="Times New Roman" w:hAnsi="Times New Roman"/>
          <w:color w:val="000000"/>
          <w:sz w:val="28"/>
          <w:szCs w:val="28"/>
          <w:lang w:val="es-ES"/>
        </w:rPr>
        <w:tab/>
      </w:r>
      <w:r>
        <w:rPr>
          <w:rFonts w:ascii="Times New Roman" w:hAnsi="Times New Roman"/>
          <w:color w:val="000000"/>
          <w:sz w:val="28"/>
          <w:szCs w:val="28"/>
          <w:lang w:val="es-ES"/>
        </w:rPr>
        <w:tab/>
        <w:t>Tại thời điểm bàn giao tạm thời xác định theo giá tạm tính, giá tạm tính được xác định theo thứ tự một trong các tiêu chí sau:</w:t>
      </w:r>
    </w:p>
    <w:p w:rsidR="0002653C" w:rsidRDefault="0002653C" w:rsidP="007B14DB">
      <w:pPr>
        <w:spacing w:before="120" w:after="120" w:line="240" w:lineRule="auto"/>
        <w:ind w:left="-90"/>
        <w:jc w:val="both"/>
        <w:rPr>
          <w:rFonts w:ascii="Times New Roman" w:hAnsi="Times New Roman"/>
          <w:sz w:val="28"/>
          <w:szCs w:val="28"/>
          <w:lang w:val="es-ES"/>
        </w:rPr>
      </w:pPr>
      <w:r>
        <w:rPr>
          <w:rFonts w:ascii="Times New Roman" w:hAnsi="Times New Roman"/>
          <w:color w:val="000000"/>
          <w:sz w:val="28"/>
          <w:szCs w:val="28"/>
          <w:lang w:val="es-ES"/>
        </w:rPr>
        <w:tab/>
      </w:r>
      <w:r>
        <w:rPr>
          <w:rFonts w:ascii="Times New Roman" w:hAnsi="Times New Roman"/>
          <w:color w:val="000000"/>
          <w:sz w:val="28"/>
          <w:szCs w:val="28"/>
          <w:lang w:val="es-ES"/>
        </w:rPr>
        <w:tab/>
        <w:t>- T</w:t>
      </w:r>
      <w:r w:rsidRPr="00D252B4">
        <w:rPr>
          <w:rFonts w:ascii="Times New Roman" w:hAnsi="Times New Roman"/>
          <w:color w:val="000000"/>
          <w:sz w:val="28"/>
          <w:szCs w:val="28"/>
          <w:lang w:val="es-ES"/>
        </w:rPr>
        <w:t>heo</w:t>
      </w:r>
      <w:r w:rsidRPr="00D252B4">
        <w:rPr>
          <w:rFonts w:ascii="Times New Roman" w:hAnsi="Times New Roman"/>
          <w:sz w:val="28"/>
          <w:szCs w:val="28"/>
          <w:lang w:val="es-ES"/>
        </w:rPr>
        <w:t xml:space="preserve"> giá trị đề nghị quyết toán</w:t>
      </w:r>
      <w:r>
        <w:rPr>
          <w:rFonts w:ascii="Times New Roman" w:hAnsi="Times New Roman"/>
          <w:sz w:val="28"/>
          <w:szCs w:val="28"/>
          <w:lang w:val="es-ES"/>
        </w:rPr>
        <w:t>;</w:t>
      </w:r>
    </w:p>
    <w:p w:rsidR="0002653C" w:rsidRDefault="0002653C" w:rsidP="007B14DB">
      <w:pPr>
        <w:spacing w:before="120" w:after="120" w:line="240" w:lineRule="auto"/>
        <w:ind w:left="-90"/>
        <w:jc w:val="both"/>
        <w:rPr>
          <w:rFonts w:ascii="Times New Roman" w:hAnsi="Times New Roman"/>
          <w:sz w:val="28"/>
          <w:szCs w:val="28"/>
          <w:lang w:val="es-ES"/>
        </w:rPr>
      </w:pPr>
      <w:r>
        <w:rPr>
          <w:rFonts w:ascii="Times New Roman" w:hAnsi="Times New Roman"/>
          <w:sz w:val="28"/>
          <w:szCs w:val="28"/>
          <w:lang w:val="es-ES"/>
        </w:rPr>
        <w:tab/>
      </w:r>
      <w:r>
        <w:rPr>
          <w:rFonts w:ascii="Times New Roman" w:hAnsi="Times New Roman"/>
          <w:sz w:val="28"/>
          <w:szCs w:val="28"/>
          <w:lang w:val="es-ES"/>
        </w:rPr>
        <w:tab/>
        <w:t>- G</w:t>
      </w:r>
      <w:r w:rsidRPr="00D252B4">
        <w:rPr>
          <w:rFonts w:ascii="Times New Roman" w:hAnsi="Times New Roman"/>
          <w:sz w:val="28"/>
          <w:szCs w:val="28"/>
          <w:lang w:val="es-ES"/>
        </w:rPr>
        <w:t>iá trị xác đị</w:t>
      </w:r>
      <w:r>
        <w:rPr>
          <w:rFonts w:ascii="Times New Roman" w:hAnsi="Times New Roman"/>
          <w:sz w:val="28"/>
          <w:szCs w:val="28"/>
          <w:lang w:val="es-ES"/>
        </w:rPr>
        <w:t>nh theo biên bản nghiệm thu A-B;</w:t>
      </w:r>
    </w:p>
    <w:p w:rsidR="0002653C" w:rsidRPr="00D252B4" w:rsidRDefault="0002653C" w:rsidP="007B14DB">
      <w:pPr>
        <w:spacing w:before="120" w:after="120" w:line="240" w:lineRule="auto"/>
        <w:ind w:left="-90"/>
        <w:jc w:val="both"/>
        <w:rPr>
          <w:rFonts w:ascii="Times New Roman" w:hAnsi="Times New Roman"/>
          <w:color w:val="000000"/>
          <w:sz w:val="28"/>
          <w:szCs w:val="28"/>
          <w:lang w:val="es-ES"/>
        </w:rPr>
      </w:pPr>
      <w:r>
        <w:rPr>
          <w:rFonts w:ascii="Times New Roman" w:hAnsi="Times New Roman"/>
          <w:sz w:val="28"/>
          <w:szCs w:val="28"/>
          <w:lang w:val="es-ES"/>
        </w:rPr>
        <w:tab/>
      </w:r>
      <w:r>
        <w:rPr>
          <w:rFonts w:ascii="Times New Roman" w:hAnsi="Times New Roman"/>
          <w:sz w:val="28"/>
          <w:szCs w:val="28"/>
          <w:lang w:val="es-ES"/>
        </w:rPr>
        <w:tab/>
        <w:t>- G</w:t>
      </w:r>
      <w:r w:rsidRPr="00D252B4">
        <w:rPr>
          <w:rFonts w:ascii="Times New Roman" w:hAnsi="Times New Roman"/>
          <w:sz w:val="28"/>
          <w:szCs w:val="28"/>
          <w:lang w:val="es-ES"/>
        </w:rPr>
        <w:t>iá trị dự toán công trìn</w:t>
      </w:r>
      <w:r w:rsidRPr="00D252B4">
        <w:rPr>
          <w:rFonts w:ascii="Times New Roman" w:hAnsi="Times New Roman"/>
          <w:sz w:val="28"/>
          <w:szCs w:val="28"/>
        </w:rPr>
        <w:t>h/hạng mục công trình</w:t>
      </w:r>
      <w:r w:rsidRPr="00D252B4">
        <w:rPr>
          <w:rFonts w:ascii="Times New Roman" w:hAnsi="Times New Roman"/>
          <w:sz w:val="28"/>
          <w:szCs w:val="28"/>
          <w:lang w:val="es-ES"/>
        </w:rPr>
        <w:t xml:space="preserve"> đã được phê duyệt</w:t>
      </w:r>
    </w:p>
    <w:p w:rsidR="0002653C" w:rsidRDefault="0002653C" w:rsidP="007B14DB">
      <w:pPr>
        <w:spacing w:before="120" w:after="120" w:line="240" w:lineRule="auto"/>
        <w:ind w:left="-90"/>
        <w:jc w:val="both"/>
        <w:rPr>
          <w:rFonts w:ascii="Times New Roman" w:hAnsi="Times New Roman"/>
          <w:color w:val="000000"/>
          <w:sz w:val="28"/>
          <w:szCs w:val="28"/>
          <w:lang w:val="es-ES"/>
        </w:rPr>
      </w:pPr>
      <w:r>
        <w:rPr>
          <w:rFonts w:ascii="Times New Roman" w:hAnsi="Times New Roman"/>
          <w:color w:val="000000"/>
          <w:sz w:val="28"/>
          <w:szCs w:val="28"/>
          <w:lang w:val="es-ES"/>
        </w:rPr>
        <w:tab/>
      </w:r>
      <w:r>
        <w:rPr>
          <w:rFonts w:ascii="Times New Roman" w:hAnsi="Times New Roman"/>
          <w:color w:val="000000"/>
          <w:sz w:val="28"/>
          <w:szCs w:val="28"/>
          <w:lang w:val="es-ES"/>
        </w:rPr>
        <w:tab/>
        <w:t>- Giá trị quyết toán dự án được cấp có thẩm quyền phê duyệt.</w:t>
      </w:r>
    </w:p>
    <w:p w:rsidR="0002653C" w:rsidRDefault="0002653C" w:rsidP="007B14DB">
      <w:pPr>
        <w:spacing w:before="120" w:after="120" w:line="240" w:lineRule="auto"/>
        <w:ind w:left="-90"/>
        <w:jc w:val="both"/>
        <w:rPr>
          <w:rFonts w:ascii="Times New Roman" w:hAnsi="Times New Roman"/>
          <w:color w:val="000000"/>
          <w:sz w:val="28"/>
          <w:szCs w:val="28"/>
          <w:lang w:val="es-ES"/>
        </w:rPr>
      </w:pPr>
      <w:r>
        <w:rPr>
          <w:rFonts w:ascii="Times New Roman" w:hAnsi="Times New Roman"/>
          <w:color w:val="000000"/>
          <w:sz w:val="28"/>
          <w:szCs w:val="28"/>
          <w:lang w:val="es-ES"/>
        </w:rPr>
        <w:tab/>
      </w:r>
      <w:r>
        <w:rPr>
          <w:rFonts w:ascii="Times New Roman" w:hAnsi="Times New Roman"/>
          <w:color w:val="000000"/>
          <w:sz w:val="28"/>
          <w:szCs w:val="28"/>
          <w:lang w:val="es-ES"/>
        </w:rPr>
        <w:tab/>
        <w:t>Giá trị chính thức của tài sản bàn giao sẽ được điều chỉnh theo giá trị quyết toán được cấp có thẩm quyền phê duyệt. Giá trị tài sản bàn giao không đánh giá lại do hầu hết các công trình/hạng mục công trình đầu tư xong đều thực hiện bàn giao cho bên nhận (E</w:t>
      </w:r>
      <w:r w:rsidR="009C46B3">
        <w:rPr>
          <w:rFonts w:ascii="Times New Roman" w:hAnsi="Times New Roman"/>
          <w:color w:val="000000"/>
          <w:sz w:val="28"/>
          <w:szCs w:val="28"/>
          <w:lang w:val="es-ES"/>
        </w:rPr>
        <w:t>VN</w:t>
      </w:r>
      <w:r>
        <w:rPr>
          <w:rFonts w:ascii="Times New Roman" w:hAnsi="Times New Roman"/>
          <w:color w:val="000000"/>
          <w:sz w:val="28"/>
          <w:szCs w:val="28"/>
          <w:lang w:val="es-ES"/>
        </w:rPr>
        <w:t>) để quản lý vận hành.</w:t>
      </w:r>
    </w:p>
    <w:p w:rsidR="009C46B3" w:rsidRPr="00523556" w:rsidRDefault="0002653C" w:rsidP="009C46B3">
      <w:pPr>
        <w:spacing w:before="120" w:after="120" w:line="240" w:lineRule="auto"/>
        <w:ind w:firstLine="567"/>
        <w:jc w:val="both"/>
        <w:rPr>
          <w:rFonts w:ascii="Times New Roman" w:hAnsi="Times New Roman"/>
          <w:color w:val="000000"/>
          <w:sz w:val="28"/>
          <w:szCs w:val="28"/>
        </w:rPr>
      </w:pPr>
      <w:r>
        <w:rPr>
          <w:rFonts w:ascii="Times New Roman" w:hAnsi="Times New Roman"/>
          <w:color w:val="000000"/>
          <w:sz w:val="28"/>
          <w:szCs w:val="28"/>
          <w:lang w:val="es-ES"/>
        </w:rPr>
        <w:tab/>
      </w:r>
      <w:r w:rsidRPr="00523556">
        <w:rPr>
          <w:rFonts w:ascii="Times New Roman" w:hAnsi="Times New Roman"/>
          <w:color w:val="000000"/>
          <w:sz w:val="28"/>
          <w:szCs w:val="28"/>
          <w:lang w:val="es-ES"/>
        </w:rPr>
        <w:t xml:space="preserve">- </w:t>
      </w:r>
      <w:r w:rsidR="009C46B3" w:rsidRPr="009C46B3">
        <w:rPr>
          <w:rFonts w:ascii="Times New Roman" w:hAnsi="Times New Roman"/>
          <w:color w:val="000000"/>
          <w:sz w:val="28"/>
          <w:szCs w:val="28"/>
          <w:lang w:val="es-ES"/>
        </w:rPr>
        <w:t>Trường hợp</w:t>
      </w:r>
      <w:r w:rsidR="009C46B3" w:rsidRPr="009C46B3">
        <w:rPr>
          <w:rFonts w:ascii="Times New Roman" w:hAnsi="Times New Roman"/>
          <w:color w:val="000000"/>
          <w:sz w:val="28"/>
          <w:szCs w:val="28"/>
        </w:rPr>
        <w:t xml:space="preserve"> các tài sản bàn giao đã được nghiệm thu nhưng chưa thực hiện bàn giao cho ngành điện ngay sau khi đóng điện đưa vào sử dụng, giá trị tài sản bàn giao được xác định căn cứ vào nguyên giá của tài sản bàn giao trừ đi giá trị khấu hao tính từ ngày công trình/hạng mục công trình </w:t>
      </w:r>
      <w:r w:rsidR="009C46B3" w:rsidRPr="009C46B3">
        <w:rPr>
          <w:rFonts w:ascii="Times New Roman" w:hAnsi="Times New Roman"/>
          <w:sz w:val="28"/>
          <w:szCs w:val="28"/>
        </w:rPr>
        <w:t xml:space="preserve">nghiệm thu hoàn thành </w:t>
      </w:r>
      <w:r w:rsidR="009C46B3" w:rsidRPr="009C46B3">
        <w:rPr>
          <w:rFonts w:ascii="Times New Roman" w:hAnsi="Times New Roman"/>
          <w:color w:val="000000"/>
          <w:sz w:val="28"/>
          <w:szCs w:val="28"/>
        </w:rPr>
        <w:t xml:space="preserve">đưa vào sử dụng đến ngày công trình/hạng mục công trình bàn giao cho Bên nhận. </w:t>
      </w:r>
      <w:r w:rsidR="009C46B3" w:rsidRPr="009C46B3">
        <w:rPr>
          <w:rFonts w:ascii="Times New Roman" w:hAnsi="Times New Roman"/>
          <w:sz w:val="28"/>
          <w:szCs w:val="28"/>
        </w:rPr>
        <w:t>Giá trị khấu hao được xác định trên cơ sở thời gian trích khấu hao theo khung thời gian quy định của Bộ Tài chính.</w:t>
      </w:r>
    </w:p>
    <w:p w:rsidR="0002653C" w:rsidRPr="00AD4505" w:rsidRDefault="0002653C" w:rsidP="007B14DB">
      <w:pPr>
        <w:spacing w:before="120" w:after="120" w:line="240" w:lineRule="auto"/>
        <w:ind w:firstLine="567"/>
        <w:jc w:val="both"/>
        <w:rPr>
          <w:rFonts w:ascii="Times New Roman" w:hAnsi="Times New Roman"/>
          <w:color w:val="000000"/>
          <w:sz w:val="28"/>
          <w:szCs w:val="28"/>
        </w:rPr>
      </w:pPr>
      <w:r w:rsidRPr="00523556">
        <w:rPr>
          <w:rFonts w:ascii="Times New Roman" w:hAnsi="Times New Roman"/>
          <w:color w:val="000000"/>
          <w:sz w:val="28"/>
          <w:szCs w:val="28"/>
        </w:rPr>
        <w:lastRenderedPageBreak/>
        <w:t xml:space="preserve"> Trường hợp Bên nhận và Bên giao không thống nhất được giá trị tài sản bàn giao, 02 bên có trách nhiệm thuê tư vấn xác định giá trị còn lại của tài sản làm căn cứ bàn giao (chi phí thuê tư vấn Bên giao và Bên nhận chịu theo tỷ lệ 50/50).</w:t>
      </w:r>
    </w:p>
    <w:p w:rsidR="00E72A5E" w:rsidRDefault="00E72A5E" w:rsidP="007B14DB">
      <w:pPr>
        <w:spacing w:before="120" w:after="120" w:line="240" w:lineRule="auto"/>
        <w:ind w:left="-90" w:firstLine="657"/>
        <w:jc w:val="both"/>
        <w:rPr>
          <w:rFonts w:ascii="Times New Roman" w:hAnsi="Times New Roman"/>
          <w:color w:val="000000"/>
          <w:sz w:val="28"/>
          <w:szCs w:val="28"/>
          <w:lang w:val="es-ES"/>
        </w:rPr>
      </w:pPr>
      <w:r w:rsidRPr="00AD4505">
        <w:rPr>
          <w:rFonts w:ascii="Times New Roman" w:hAnsi="Times New Roman"/>
          <w:color w:val="000000"/>
          <w:sz w:val="28"/>
          <w:szCs w:val="28"/>
        </w:rPr>
        <w:t xml:space="preserve">5. </w:t>
      </w:r>
      <w:r w:rsidRPr="001B291B">
        <w:rPr>
          <w:rFonts w:ascii="Times New Roman" w:hAnsi="Times New Roman"/>
          <w:color w:val="000000"/>
          <w:sz w:val="28"/>
          <w:szCs w:val="28"/>
          <w:lang w:val="es-ES"/>
        </w:rPr>
        <w:t>Nguyên tắc xử lý và hoàn trả vốn đầu tư của dự án cấp điệ</w:t>
      </w:r>
      <w:r w:rsidR="009C46B3">
        <w:rPr>
          <w:rFonts w:ascii="Times New Roman" w:hAnsi="Times New Roman"/>
          <w:color w:val="000000"/>
          <w:sz w:val="28"/>
          <w:szCs w:val="28"/>
          <w:lang w:val="es-ES"/>
        </w:rPr>
        <w:t xml:space="preserve">n nông thôn, miền núi và hải đảo </w:t>
      </w:r>
      <w:r w:rsidRPr="001B291B">
        <w:rPr>
          <w:rFonts w:ascii="Times New Roman" w:hAnsi="Times New Roman"/>
          <w:color w:val="000000"/>
          <w:sz w:val="28"/>
          <w:szCs w:val="28"/>
          <w:lang w:val="es-ES"/>
        </w:rPr>
        <w:t>khi thực hiệ</w:t>
      </w:r>
      <w:r>
        <w:rPr>
          <w:rFonts w:ascii="Times New Roman" w:hAnsi="Times New Roman"/>
          <w:color w:val="000000"/>
          <w:sz w:val="28"/>
          <w:szCs w:val="28"/>
          <w:lang w:val="es-ES"/>
        </w:rPr>
        <w:t>n bàn giao:</w:t>
      </w:r>
    </w:p>
    <w:p w:rsidR="00E72A5E" w:rsidRDefault="00E72A5E" w:rsidP="007B14DB">
      <w:pPr>
        <w:spacing w:before="120" w:after="120" w:line="240" w:lineRule="auto"/>
        <w:ind w:left="-90" w:firstLine="657"/>
        <w:jc w:val="both"/>
        <w:rPr>
          <w:rFonts w:ascii="Times New Roman" w:hAnsi="Times New Roman"/>
          <w:color w:val="000000"/>
          <w:sz w:val="28"/>
          <w:szCs w:val="28"/>
          <w:lang w:val="es-ES"/>
        </w:rPr>
      </w:pPr>
      <w:r>
        <w:rPr>
          <w:rFonts w:ascii="Times New Roman" w:hAnsi="Times New Roman"/>
          <w:color w:val="000000"/>
          <w:sz w:val="28"/>
          <w:szCs w:val="28"/>
          <w:lang w:val="es-ES"/>
        </w:rPr>
        <w:t>- Bên giao và bên nhận phải xác định cơ cấu các nguồn vốn đầu tư dự án cấp điện nông thôn (vốn đầu tư có nguồn gốc từ ngân sách nhà nước; vốn vay</w:t>
      </w:r>
      <w:r w:rsidR="009C46B3">
        <w:rPr>
          <w:rFonts w:ascii="Times New Roman" w:hAnsi="Times New Roman"/>
          <w:color w:val="000000"/>
          <w:sz w:val="28"/>
          <w:szCs w:val="28"/>
          <w:lang w:val="es-ES"/>
        </w:rPr>
        <w:t>…</w:t>
      </w:r>
      <w:r>
        <w:rPr>
          <w:rFonts w:ascii="Times New Roman" w:hAnsi="Times New Roman"/>
          <w:color w:val="000000"/>
          <w:sz w:val="28"/>
          <w:szCs w:val="28"/>
          <w:lang w:val="es-ES"/>
        </w:rPr>
        <w:t>).</w:t>
      </w:r>
    </w:p>
    <w:p w:rsidR="00E72A5E" w:rsidRPr="00EC5613" w:rsidRDefault="00E72A5E" w:rsidP="007B14DB">
      <w:pPr>
        <w:pStyle w:val="NormalWeb"/>
        <w:spacing w:before="120" w:beforeAutospacing="0" w:after="120" w:afterAutospacing="0"/>
        <w:ind w:firstLine="567"/>
        <w:jc w:val="both"/>
        <w:rPr>
          <w:sz w:val="28"/>
          <w:szCs w:val="28"/>
          <w:lang w:val="es-ES"/>
        </w:rPr>
      </w:pPr>
      <w:r w:rsidRPr="00490199">
        <w:rPr>
          <w:sz w:val="28"/>
          <w:szCs w:val="28"/>
          <w:lang w:val="es-ES"/>
        </w:rPr>
        <w:t>- Vốn đầu tư dự án có nguồn gốc từ ngân sách nhà nước (</w:t>
      </w:r>
      <w:r w:rsidR="00DA12F9">
        <w:rPr>
          <w:sz w:val="28"/>
          <w:szCs w:val="28"/>
          <w:lang w:val="es-ES"/>
        </w:rPr>
        <w:t xml:space="preserve">gồm: </w:t>
      </w:r>
      <w:r w:rsidR="009C46B3" w:rsidRPr="009C46B3">
        <w:rPr>
          <w:iCs/>
          <w:sz w:val="28"/>
          <w:szCs w:val="28"/>
          <w:lang w:val="es-ES"/>
        </w:rPr>
        <w:t xml:space="preserve">Vốn từ nguồn tài trợ ODA không hoàn lại của Chính phủ theo các Hiệp định tài trợ vốn, Vốn ngân sách </w:t>
      </w:r>
      <w:r w:rsidR="009C46B3" w:rsidRPr="00D72BAE">
        <w:rPr>
          <w:iCs/>
          <w:sz w:val="28"/>
          <w:szCs w:val="28"/>
          <w:lang w:val="vi-VN"/>
        </w:rPr>
        <w:t>Trung ương, vốn</w:t>
      </w:r>
      <w:r w:rsidR="009C46B3" w:rsidRPr="009C46B3">
        <w:rPr>
          <w:iCs/>
          <w:sz w:val="28"/>
          <w:szCs w:val="28"/>
          <w:lang w:val="es-ES"/>
        </w:rPr>
        <w:t xml:space="preserve"> ngân sách địa phương cấp cho chủ đầu tư (UBND các tỉnh/thành phố </w:t>
      </w:r>
      <w:r w:rsidR="009C46B3" w:rsidRPr="009C46B3">
        <w:rPr>
          <w:sz w:val="28"/>
          <w:szCs w:val="28"/>
          <w:lang w:val="es-ES"/>
        </w:rPr>
        <w:t>trực thuộc trung ương</w:t>
      </w:r>
      <w:r w:rsidR="009C46B3" w:rsidRPr="009C46B3">
        <w:rPr>
          <w:iCs/>
          <w:sz w:val="28"/>
          <w:szCs w:val="28"/>
          <w:lang w:val="es-ES"/>
        </w:rPr>
        <w:t>) thực hiện dự án cấp điện nông thôn</w:t>
      </w:r>
      <w:r w:rsidR="009C46B3" w:rsidRPr="009C46B3">
        <w:rPr>
          <w:sz w:val="28"/>
          <w:lang w:val="es-ES"/>
        </w:rPr>
        <w:t>, miền núi và hải đảo</w:t>
      </w:r>
      <w:r w:rsidRPr="00490199">
        <w:rPr>
          <w:sz w:val="28"/>
          <w:szCs w:val="28"/>
          <w:lang w:val="es-ES"/>
        </w:rPr>
        <w:t>)</w:t>
      </w:r>
      <w:r w:rsidR="009C46B3">
        <w:rPr>
          <w:sz w:val="28"/>
          <w:szCs w:val="28"/>
          <w:lang w:val="es-ES"/>
        </w:rPr>
        <w:t xml:space="preserve">; </w:t>
      </w:r>
      <w:r w:rsidR="009C46B3" w:rsidRPr="009C46B3">
        <w:rPr>
          <w:iCs/>
          <w:sz w:val="28"/>
          <w:szCs w:val="28"/>
          <w:lang w:val="vi-VN"/>
        </w:rPr>
        <w:t>vốn</w:t>
      </w:r>
      <w:r w:rsidR="009C46B3" w:rsidRPr="009C46B3">
        <w:rPr>
          <w:iCs/>
          <w:sz w:val="28"/>
          <w:szCs w:val="28"/>
          <w:lang w:val="es-ES"/>
        </w:rPr>
        <w:t xml:space="preserve"> khác</w:t>
      </w:r>
      <w:r w:rsidR="009C46B3" w:rsidRPr="009C46B3">
        <w:rPr>
          <w:iCs/>
          <w:sz w:val="28"/>
          <w:szCs w:val="28"/>
          <w:lang w:val="vi-VN"/>
        </w:rPr>
        <w:t xml:space="preserve"> do tổ chức, cá nhân tự nguyện đóng góp</w:t>
      </w:r>
      <w:r w:rsidR="009C46B3" w:rsidRPr="009C46B3">
        <w:rPr>
          <w:iCs/>
          <w:sz w:val="28"/>
          <w:szCs w:val="28"/>
          <w:lang w:val="es-ES"/>
        </w:rPr>
        <w:t xml:space="preserve"> và vốn do chủ đầu tư huy động hợp pháp khác (không phải hoàn trả)</w:t>
      </w:r>
      <w:r w:rsidR="00DA12F9">
        <w:rPr>
          <w:sz w:val="28"/>
          <w:szCs w:val="28"/>
          <w:lang w:val="es-ES"/>
        </w:rPr>
        <w:t xml:space="preserve">: </w:t>
      </w:r>
      <w:r w:rsidRPr="00490199">
        <w:rPr>
          <w:sz w:val="28"/>
          <w:szCs w:val="28"/>
          <w:lang w:val="es-ES"/>
        </w:rPr>
        <w:t xml:space="preserve">Bên nhận thực hiện hạch toán tăng tài sản, tăng </w:t>
      </w:r>
      <w:r w:rsidR="00DA12F9">
        <w:rPr>
          <w:sz w:val="28"/>
          <w:szCs w:val="28"/>
          <w:lang w:val="es-ES"/>
        </w:rPr>
        <w:t>vốn</w:t>
      </w:r>
      <w:r w:rsidR="00A744DA">
        <w:rPr>
          <w:sz w:val="28"/>
          <w:szCs w:val="28"/>
          <w:lang w:val="es-ES"/>
        </w:rPr>
        <w:t xml:space="preserve"> đầu tư</w:t>
      </w:r>
      <w:r w:rsidR="00DA12F9">
        <w:rPr>
          <w:sz w:val="28"/>
          <w:szCs w:val="28"/>
          <w:lang w:val="es-ES"/>
        </w:rPr>
        <w:t xml:space="preserve"> chủ sở hữu</w:t>
      </w:r>
      <w:r w:rsidRPr="00490199">
        <w:rPr>
          <w:sz w:val="28"/>
          <w:szCs w:val="28"/>
          <w:lang w:val="es-ES"/>
        </w:rPr>
        <w:t xml:space="preserve">; </w:t>
      </w:r>
    </w:p>
    <w:p w:rsidR="00E72A5E" w:rsidRDefault="00E72A5E" w:rsidP="007B14DB">
      <w:pPr>
        <w:spacing w:before="120" w:after="120" w:line="240" w:lineRule="auto"/>
        <w:ind w:left="-90"/>
        <w:jc w:val="both"/>
        <w:rPr>
          <w:rFonts w:ascii="Times New Roman" w:hAnsi="Times New Roman"/>
          <w:color w:val="000000"/>
          <w:sz w:val="28"/>
          <w:szCs w:val="28"/>
          <w:lang w:val="es-ES"/>
        </w:rPr>
      </w:pPr>
      <w:r>
        <w:rPr>
          <w:rFonts w:ascii="Times New Roman" w:hAnsi="Times New Roman"/>
          <w:color w:val="000000"/>
          <w:sz w:val="28"/>
          <w:szCs w:val="28"/>
          <w:lang w:val="es-ES"/>
        </w:rPr>
        <w:tab/>
        <w:t xml:space="preserve">        - Vốn đầu tư dự án có nguồn gốc từ vốn </w:t>
      </w:r>
      <w:r w:rsidR="006449F4" w:rsidRPr="006449F4">
        <w:rPr>
          <w:rFonts w:ascii="Times New Roman" w:hAnsi="Times New Roman"/>
          <w:color w:val="000000"/>
          <w:sz w:val="28"/>
          <w:szCs w:val="28"/>
          <w:lang w:val="es-ES"/>
        </w:rPr>
        <w:t>vay</w:t>
      </w:r>
      <w:r w:rsidR="006449F4" w:rsidRPr="006449F4">
        <w:rPr>
          <w:rFonts w:ascii="Times New Roman" w:hAnsi="Times New Roman"/>
          <w:color w:val="000000"/>
          <w:sz w:val="28"/>
          <w:szCs w:val="28"/>
        </w:rPr>
        <w:t xml:space="preserve"> ODA,</w:t>
      </w:r>
      <w:r w:rsidR="006449F4" w:rsidRPr="006449F4">
        <w:rPr>
          <w:rFonts w:ascii="Times New Roman" w:hAnsi="Times New Roman"/>
          <w:color w:val="000000"/>
          <w:sz w:val="28"/>
          <w:szCs w:val="28"/>
          <w:lang w:val="es-ES"/>
        </w:rPr>
        <w:t xml:space="preserve"> các tổ chức tín dụng, các cá nhân, tổ chức kinh tế khác và các nguồn vốn khác (phải hoàn trả), Bên nhận có trách nhiệm hạch toán tăng tài sản, tăng nợ phải trả; thực hiện hoàn trả cho Bên giao số tiền vay còn nợ các tổ chức tín dụng, các cá nhân và các tổ chức kinh tế khác theo quy định trong hợp đồng vay hoặc khế ước vay </w:t>
      </w:r>
      <w:r w:rsidR="006449F4" w:rsidRPr="006449F4">
        <w:rPr>
          <w:rFonts w:ascii="Times New Roman" w:hAnsi="Times New Roman"/>
          <w:sz w:val="28"/>
          <w:szCs w:val="28"/>
          <w:lang w:val="es-ES"/>
        </w:rPr>
        <w:t>(nhưng không vượt quá giá trị của tài sản bàn giao đầu tư bằng nguồn vốn vay đã xác định trong biên bản bàn giao)</w:t>
      </w:r>
      <w:r w:rsidR="006449F4" w:rsidRPr="006449F4">
        <w:rPr>
          <w:rFonts w:ascii="Times New Roman" w:hAnsi="Times New Roman"/>
          <w:color w:val="000000"/>
          <w:sz w:val="28"/>
          <w:szCs w:val="28"/>
          <w:lang w:val="es-ES"/>
        </w:rPr>
        <w:t>; Bên giao hạch toán giảm giá trị tài sản bàn giao đối với giá trị tài sản hình thành từ nguồn vốn vay, đồng thời hạch toán tăng khoản nợ phải thu đối với Bên nhận. Bên giao theo dõi và thực hiện thu hồi nợ từ Bên nhận để hoàn trả cho bên vay theo hợp đồng hoặc khế ước vay.</w:t>
      </w:r>
    </w:p>
    <w:p w:rsidR="0002653C" w:rsidRDefault="00A744DA" w:rsidP="00DB40DB">
      <w:pPr>
        <w:spacing w:before="120" w:after="120" w:line="240" w:lineRule="auto"/>
        <w:ind w:left="-90"/>
        <w:jc w:val="both"/>
        <w:rPr>
          <w:rFonts w:ascii="Times New Roman" w:hAnsi="Times New Roman"/>
          <w:sz w:val="28"/>
          <w:szCs w:val="28"/>
          <w:lang w:val="nl-NL"/>
        </w:rPr>
      </w:pPr>
      <w:r>
        <w:rPr>
          <w:rFonts w:ascii="Times New Roman" w:hAnsi="Times New Roman"/>
          <w:color w:val="000000"/>
          <w:sz w:val="28"/>
          <w:szCs w:val="28"/>
          <w:lang w:val="es-ES"/>
        </w:rPr>
        <w:tab/>
      </w:r>
      <w:r>
        <w:rPr>
          <w:rFonts w:ascii="Times New Roman" w:hAnsi="Times New Roman"/>
          <w:color w:val="000000"/>
          <w:sz w:val="28"/>
          <w:szCs w:val="28"/>
          <w:lang w:val="es-ES"/>
        </w:rPr>
        <w:tab/>
      </w:r>
      <w:r w:rsidR="0002653C" w:rsidRPr="00523556">
        <w:rPr>
          <w:rFonts w:ascii="Times New Roman" w:hAnsi="Times New Roman"/>
          <w:b/>
          <w:sz w:val="28"/>
          <w:szCs w:val="28"/>
          <w:lang w:val="nl-NL"/>
        </w:rPr>
        <w:t>IV.</w:t>
      </w:r>
      <w:r w:rsidR="0002653C">
        <w:rPr>
          <w:rFonts w:ascii="Times New Roman" w:hAnsi="Times New Roman"/>
          <w:b/>
          <w:sz w:val="28"/>
          <w:szCs w:val="28"/>
          <w:lang w:val="nl-NL"/>
        </w:rPr>
        <w:t xml:space="preserve"> </w:t>
      </w:r>
      <w:r w:rsidR="00EB7657" w:rsidRPr="00523556">
        <w:rPr>
          <w:rFonts w:ascii="Times New Roman" w:hAnsi="Times New Roman"/>
          <w:b/>
          <w:sz w:val="28"/>
          <w:szCs w:val="28"/>
          <w:lang w:val="nl-NL"/>
        </w:rPr>
        <w:t xml:space="preserve">Bộ Tài chính giải </w:t>
      </w:r>
      <w:r w:rsidR="00EB7657">
        <w:rPr>
          <w:rFonts w:ascii="Times New Roman" w:hAnsi="Times New Roman"/>
          <w:b/>
          <w:sz w:val="28"/>
          <w:szCs w:val="28"/>
          <w:lang w:val="nl-NL"/>
        </w:rPr>
        <w:t>trình</w:t>
      </w:r>
      <w:r w:rsidR="0002653C" w:rsidRPr="00523556">
        <w:rPr>
          <w:rFonts w:ascii="Times New Roman" w:hAnsi="Times New Roman"/>
          <w:b/>
          <w:sz w:val="28"/>
          <w:szCs w:val="28"/>
          <w:lang w:val="nl-NL"/>
        </w:rPr>
        <w:t xml:space="preserve"> ý kiến </w:t>
      </w:r>
      <w:r w:rsidR="00EB7657">
        <w:rPr>
          <w:rFonts w:ascii="Times New Roman" w:hAnsi="Times New Roman"/>
          <w:b/>
          <w:sz w:val="28"/>
          <w:szCs w:val="28"/>
          <w:lang w:val="nl-NL"/>
        </w:rPr>
        <w:t xml:space="preserve">tham gia </w:t>
      </w:r>
      <w:r w:rsidR="0002653C" w:rsidRPr="00523556">
        <w:rPr>
          <w:rFonts w:ascii="Times New Roman" w:hAnsi="Times New Roman"/>
          <w:b/>
          <w:sz w:val="28"/>
          <w:szCs w:val="28"/>
          <w:lang w:val="nl-NL"/>
        </w:rPr>
        <w:t>của UBND các tỉnh</w:t>
      </w:r>
      <w:r w:rsidR="00EB7657">
        <w:rPr>
          <w:rFonts w:ascii="Times New Roman" w:hAnsi="Times New Roman"/>
          <w:b/>
          <w:sz w:val="28"/>
          <w:szCs w:val="28"/>
          <w:lang w:val="nl-NL"/>
        </w:rPr>
        <w:t>/thành phố,</w:t>
      </w:r>
      <w:r w:rsidR="0002653C" w:rsidRPr="00523556">
        <w:rPr>
          <w:rFonts w:ascii="Times New Roman" w:hAnsi="Times New Roman"/>
          <w:b/>
          <w:sz w:val="28"/>
          <w:szCs w:val="28"/>
          <w:lang w:val="nl-NL"/>
        </w:rPr>
        <w:t xml:space="preserve"> Bộ,</w:t>
      </w:r>
      <w:r w:rsidR="00DA12F9">
        <w:rPr>
          <w:rFonts w:ascii="Times New Roman" w:hAnsi="Times New Roman"/>
          <w:b/>
          <w:sz w:val="28"/>
          <w:szCs w:val="28"/>
          <w:lang w:val="nl-NL"/>
        </w:rPr>
        <w:t xml:space="preserve"> ngành liên quan và</w:t>
      </w:r>
      <w:r w:rsidR="0002653C" w:rsidRPr="00523556">
        <w:rPr>
          <w:rFonts w:ascii="Times New Roman" w:hAnsi="Times New Roman"/>
          <w:b/>
          <w:sz w:val="28"/>
          <w:szCs w:val="28"/>
          <w:lang w:val="nl-NL"/>
        </w:rPr>
        <w:t xml:space="preserve"> </w:t>
      </w:r>
      <w:r w:rsidR="0002653C">
        <w:rPr>
          <w:rFonts w:ascii="Times New Roman" w:hAnsi="Times New Roman"/>
          <w:b/>
          <w:sz w:val="28"/>
          <w:szCs w:val="28"/>
          <w:lang w:val="nl-NL"/>
        </w:rPr>
        <w:t>EVN</w:t>
      </w:r>
      <w:r w:rsidR="0002653C" w:rsidRPr="00523556">
        <w:rPr>
          <w:rFonts w:ascii="Times New Roman" w:hAnsi="Times New Roman"/>
          <w:b/>
          <w:sz w:val="28"/>
          <w:szCs w:val="28"/>
          <w:lang w:val="nl-NL"/>
        </w:rPr>
        <w:t>:</w:t>
      </w:r>
      <w:r w:rsidR="0002653C">
        <w:rPr>
          <w:rFonts w:ascii="Times New Roman" w:hAnsi="Times New Roman"/>
          <w:sz w:val="28"/>
          <w:szCs w:val="28"/>
          <w:lang w:val="nl-NL"/>
        </w:rPr>
        <w:tab/>
      </w:r>
      <w:r w:rsidR="006449F4">
        <w:rPr>
          <w:rFonts w:ascii="Times New Roman" w:hAnsi="Times New Roman"/>
          <w:sz w:val="28"/>
          <w:szCs w:val="28"/>
          <w:lang w:val="nl-NL"/>
        </w:rPr>
        <w:t>(Chi tiết như Phụ lục kèm theo Tờ trình này).</w:t>
      </w:r>
    </w:p>
    <w:p w:rsidR="00DB40DB" w:rsidRDefault="00DB40DB" w:rsidP="00DB40DB">
      <w:pPr>
        <w:spacing w:before="120" w:after="120" w:line="240" w:lineRule="auto"/>
        <w:ind w:left="-90"/>
        <w:jc w:val="both"/>
        <w:rPr>
          <w:rFonts w:ascii="Times New Roman" w:eastAsia="Arial" w:hAnsi="Times New Roman"/>
          <w:sz w:val="28"/>
          <w:szCs w:val="28"/>
          <w:lang w:val="nl-NL"/>
        </w:rPr>
      </w:pPr>
      <w:r>
        <w:rPr>
          <w:rFonts w:ascii="Times New Roman" w:hAnsi="Times New Roman"/>
          <w:b/>
          <w:sz w:val="28"/>
          <w:szCs w:val="28"/>
          <w:lang w:val="nl-NL"/>
        </w:rPr>
        <w:tab/>
      </w:r>
      <w:r>
        <w:rPr>
          <w:rFonts w:ascii="Times New Roman" w:hAnsi="Times New Roman"/>
          <w:b/>
          <w:sz w:val="28"/>
          <w:szCs w:val="28"/>
          <w:lang w:val="nl-NL"/>
        </w:rPr>
        <w:tab/>
      </w:r>
      <w:r>
        <w:rPr>
          <w:rFonts w:ascii="Times New Roman" w:eastAsia="Arial" w:hAnsi="Times New Roman"/>
          <w:sz w:val="28"/>
          <w:szCs w:val="28"/>
          <w:lang w:val="nl-NL"/>
        </w:rPr>
        <w:t>Một số nội dung tiếp thu, giải trình lớn trong dự thảo Quyết định như sau:</w:t>
      </w:r>
    </w:p>
    <w:p w:rsidR="00DB40DB" w:rsidRDefault="00DB40DB" w:rsidP="00DB40DB">
      <w:pPr>
        <w:spacing w:before="120" w:after="120" w:line="240" w:lineRule="auto"/>
        <w:ind w:firstLine="720"/>
        <w:jc w:val="both"/>
        <w:rPr>
          <w:rFonts w:ascii="Times New Roman" w:eastAsia="Arial" w:hAnsi="Times New Roman"/>
          <w:sz w:val="28"/>
          <w:szCs w:val="28"/>
          <w:lang w:val="nl-NL"/>
        </w:rPr>
      </w:pPr>
      <w:r>
        <w:rPr>
          <w:rFonts w:ascii="Times New Roman" w:eastAsia="Arial" w:hAnsi="Times New Roman"/>
          <w:sz w:val="28"/>
          <w:szCs w:val="28"/>
          <w:lang w:val="nl-NL"/>
        </w:rPr>
        <w:t>1</w:t>
      </w:r>
      <w:r w:rsidRPr="00DB40DB">
        <w:rPr>
          <w:rFonts w:ascii="Times New Roman" w:eastAsia="Arial" w:hAnsi="Times New Roman"/>
          <w:sz w:val="28"/>
          <w:szCs w:val="28"/>
          <w:lang w:val="nl-NL"/>
        </w:rPr>
        <w:t>. Nội dung tiếp thu:</w:t>
      </w:r>
    </w:p>
    <w:p w:rsidR="00DB40DB" w:rsidRDefault="00DB40DB" w:rsidP="00DB40DB">
      <w:pPr>
        <w:spacing w:before="120" w:after="120" w:line="240" w:lineRule="auto"/>
        <w:ind w:firstLine="720"/>
        <w:jc w:val="both"/>
        <w:rPr>
          <w:rFonts w:ascii="Times New Roman" w:eastAsia="Arial" w:hAnsi="Times New Roman"/>
          <w:sz w:val="28"/>
          <w:szCs w:val="28"/>
          <w:lang w:val="nl-NL"/>
        </w:rPr>
      </w:pPr>
      <w:r>
        <w:rPr>
          <w:rFonts w:ascii="Times New Roman" w:eastAsia="Arial" w:hAnsi="Times New Roman"/>
          <w:sz w:val="28"/>
          <w:szCs w:val="28"/>
          <w:lang w:val="nl-NL"/>
        </w:rPr>
        <w:t>- Tiếp thu ý kiến của Bộ Tư pháp, Bộ Tài chính đã làm rõ các quy định pháp luật có liên quan và cơ sở pháp lý, sự cần thiết phải ban hành Quyết định này trong dự thảo Tờ trình Thủ tướng Chính phủ.</w:t>
      </w:r>
    </w:p>
    <w:p w:rsidR="00DB40DB" w:rsidRDefault="00DB40DB" w:rsidP="00DB40DB">
      <w:pPr>
        <w:spacing w:before="120" w:after="120" w:line="240" w:lineRule="auto"/>
        <w:ind w:firstLine="720"/>
        <w:jc w:val="both"/>
        <w:rPr>
          <w:rFonts w:ascii="Times New Roman" w:hAnsi="Times New Roman"/>
          <w:i/>
          <w:sz w:val="28"/>
          <w:szCs w:val="28"/>
          <w:lang w:val="es-ES"/>
        </w:rPr>
      </w:pPr>
      <w:r>
        <w:rPr>
          <w:rFonts w:ascii="Times New Roman" w:eastAsia="Arial" w:hAnsi="Times New Roman"/>
          <w:sz w:val="28"/>
          <w:szCs w:val="28"/>
          <w:lang w:val="nl-NL"/>
        </w:rPr>
        <w:t xml:space="preserve">- Tiếp thu ý kiến của UBND tỉnh Hải Phòng và Sở Tài chính tỉnh Bình Định: Bộ Tài chính đã bổ sung căn cứ ban hành Quyết định có bao gồm: </w:t>
      </w:r>
      <w:r w:rsidRPr="000970B5">
        <w:rPr>
          <w:rFonts w:ascii="Times New Roman" w:hAnsi="Times New Roman"/>
          <w:i/>
          <w:sz w:val="28"/>
          <w:szCs w:val="28"/>
          <w:lang w:val="es-ES"/>
        </w:rPr>
        <w:t>Luật quản lý, sử dụng tài sản công; Luật quản lý, sử dụng vốn nhà nước đầu tư vào sản xuất kinh doanh tại doanh nghiệp; Luật Đầu tư công.</w:t>
      </w:r>
    </w:p>
    <w:p w:rsidR="00DB40DB" w:rsidRPr="009257C1" w:rsidRDefault="00DB40DB" w:rsidP="00DB40DB">
      <w:pPr>
        <w:spacing w:before="120" w:after="120" w:line="240" w:lineRule="auto"/>
        <w:ind w:firstLine="720"/>
        <w:jc w:val="both"/>
        <w:rPr>
          <w:rFonts w:ascii="Times New Roman" w:eastAsia="Arial" w:hAnsi="Times New Roman"/>
          <w:sz w:val="28"/>
          <w:szCs w:val="28"/>
          <w:lang w:val="nl-NL"/>
        </w:rPr>
      </w:pPr>
      <w:r>
        <w:rPr>
          <w:rFonts w:ascii="Times New Roman" w:eastAsia="Arial" w:hAnsi="Times New Roman"/>
          <w:sz w:val="28"/>
          <w:szCs w:val="28"/>
          <w:lang w:val="nl-NL"/>
        </w:rPr>
        <w:t>- Tiếp thu ý kiến của EVN, để phù hợp với thực tế và tránh phát sinh vướng mắc, Bộ Tài chính đã quy định rõ về tài sản bàn giao là “</w:t>
      </w:r>
      <w:r w:rsidRPr="009257C1">
        <w:rPr>
          <w:rFonts w:ascii="Times New Roman" w:hAnsi="Times New Roman"/>
          <w:i/>
          <w:iCs/>
          <w:sz w:val="28"/>
          <w:szCs w:val="28"/>
        </w:rPr>
        <w:t>Công trình/hạng mục công trình thuộc Dự án cấp điện nông thôn</w:t>
      </w:r>
      <w:r w:rsidRPr="009257C1">
        <w:rPr>
          <w:rFonts w:ascii="Times New Roman" w:hAnsi="Times New Roman"/>
          <w:i/>
          <w:sz w:val="28"/>
          <w:szCs w:val="28"/>
        </w:rPr>
        <w:t>, miền núi và hải đảo</w:t>
      </w:r>
      <w:r w:rsidRPr="009257C1">
        <w:rPr>
          <w:rFonts w:ascii="Times New Roman" w:hAnsi="Times New Roman"/>
          <w:i/>
          <w:iCs/>
          <w:sz w:val="28"/>
          <w:szCs w:val="28"/>
        </w:rPr>
        <w:t xml:space="preserve"> đã hoàn thành đưa vào sử dụng, </w:t>
      </w:r>
      <w:r w:rsidRPr="009257C1">
        <w:rPr>
          <w:rFonts w:ascii="Times New Roman" w:hAnsi="Times New Roman"/>
          <w:i/>
          <w:sz w:val="28"/>
          <w:szCs w:val="28"/>
          <w:u w:val="single"/>
          <w:lang w:val="es-ES"/>
        </w:rPr>
        <w:t>không bao gồm vật tư thiết bị hư hỏng, dự phòng</w:t>
      </w:r>
      <w:r>
        <w:rPr>
          <w:rFonts w:ascii="Times New Roman" w:hAnsi="Times New Roman"/>
          <w:i/>
          <w:sz w:val="28"/>
          <w:szCs w:val="28"/>
          <w:lang w:val="es-ES"/>
        </w:rPr>
        <w:t>”</w:t>
      </w:r>
      <w:r>
        <w:rPr>
          <w:rFonts w:ascii="Times New Roman" w:hAnsi="Times New Roman"/>
          <w:sz w:val="28"/>
          <w:szCs w:val="28"/>
          <w:lang w:val="es-ES"/>
        </w:rPr>
        <w:t xml:space="preserve"> (khoản 7 </w:t>
      </w:r>
      <w:r>
        <w:rPr>
          <w:rFonts w:ascii="Times New Roman" w:hAnsi="Times New Roman"/>
          <w:sz w:val="28"/>
          <w:szCs w:val="28"/>
          <w:lang w:val="es-ES"/>
        </w:rPr>
        <w:lastRenderedPageBreak/>
        <w:t>Điều 3)</w:t>
      </w:r>
      <w:r>
        <w:rPr>
          <w:i/>
          <w:sz w:val="26"/>
          <w:szCs w:val="26"/>
          <w:lang w:val="es-ES"/>
        </w:rPr>
        <w:t>.</w:t>
      </w:r>
      <w:r>
        <w:rPr>
          <w:sz w:val="28"/>
          <w:szCs w:val="28"/>
          <w:lang w:val="es-ES"/>
        </w:rPr>
        <w:t xml:space="preserve"> </w:t>
      </w:r>
      <w:r w:rsidRPr="009257C1">
        <w:rPr>
          <w:rFonts w:ascii="Times New Roman" w:hAnsi="Times New Roman"/>
          <w:sz w:val="28"/>
          <w:szCs w:val="28"/>
          <w:lang w:val="es-ES"/>
        </w:rPr>
        <w:t>(Phù hợp với đối tượng bàn giao đã được quy định tại Quyết định số 41/2017/QĐ-TTg).</w:t>
      </w:r>
    </w:p>
    <w:p w:rsidR="00DB40DB" w:rsidRPr="009257C1" w:rsidRDefault="00DB40DB" w:rsidP="00DB40DB">
      <w:pPr>
        <w:spacing w:before="120" w:after="120" w:line="240" w:lineRule="auto"/>
        <w:ind w:firstLine="720"/>
        <w:jc w:val="both"/>
        <w:rPr>
          <w:rFonts w:ascii="Times New Roman" w:eastAsia="Arial" w:hAnsi="Times New Roman"/>
          <w:sz w:val="28"/>
          <w:szCs w:val="28"/>
          <w:lang w:val="nl-NL"/>
        </w:rPr>
      </w:pPr>
      <w:r>
        <w:rPr>
          <w:rFonts w:ascii="Times New Roman" w:eastAsia="Arial" w:hAnsi="Times New Roman"/>
          <w:sz w:val="28"/>
          <w:szCs w:val="28"/>
          <w:lang w:val="nl-NL"/>
        </w:rPr>
        <w:t xml:space="preserve">- Tiếp thu ý kiến của EVN và Sở Tài chính Đắk Nông, Bộ Tài chính bổ sung quy định rõ ràng hơn về tài liệu chứng minh sự đóng góp của nhân dân là </w:t>
      </w:r>
      <w:r w:rsidRPr="009257C1">
        <w:rPr>
          <w:rFonts w:ascii="Times New Roman" w:eastAsia="Arial" w:hAnsi="Times New Roman"/>
          <w:sz w:val="28"/>
          <w:szCs w:val="28"/>
          <w:lang w:val="nl-NL"/>
        </w:rPr>
        <w:t>“</w:t>
      </w:r>
      <w:r w:rsidRPr="009257C1">
        <w:rPr>
          <w:rFonts w:ascii="Times New Roman" w:hAnsi="Times New Roman"/>
          <w:i/>
          <w:sz w:val="28"/>
          <w:szCs w:val="28"/>
          <w:u w:val="single"/>
          <w:lang w:val="es-ES"/>
        </w:rPr>
        <w:t>Các chứng từ thể hiện vốn của cá nhân (phiếu thu, chứng từ góp vốn và các giấy tờ khác (nếu có)</w:t>
      </w:r>
      <w:r w:rsidRPr="009257C1">
        <w:rPr>
          <w:rFonts w:ascii="Times New Roman" w:hAnsi="Times New Roman"/>
          <w:i/>
          <w:sz w:val="28"/>
          <w:szCs w:val="28"/>
          <w:lang w:val="es-ES"/>
        </w:rPr>
        <w:t xml:space="preserve"> chứng minh sự đóng góp thực tế của nhân dân (đất đai, công sức, tiền, tài sản…)”</w:t>
      </w:r>
      <w:r>
        <w:rPr>
          <w:rFonts w:ascii="Times New Roman" w:hAnsi="Times New Roman"/>
          <w:sz w:val="28"/>
          <w:szCs w:val="28"/>
          <w:lang w:val="es-ES"/>
        </w:rPr>
        <w:t xml:space="preserve"> (điểm a khoản 2 Điều 4)</w:t>
      </w:r>
      <w:r w:rsidRPr="009257C1">
        <w:rPr>
          <w:rFonts w:ascii="Times New Roman" w:hAnsi="Times New Roman"/>
          <w:i/>
          <w:sz w:val="28"/>
          <w:szCs w:val="28"/>
          <w:lang w:val="es-ES"/>
        </w:rPr>
        <w:t>.</w:t>
      </w:r>
    </w:p>
    <w:p w:rsidR="00DB40DB" w:rsidRPr="00DF2895" w:rsidRDefault="00DB40DB" w:rsidP="00DF2895">
      <w:pPr>
        <w:spacing w:before="120" w:after="120" w:line="240" w:lineRule="auto"/>
        <w:ind w:firstLine="720"/>
        <w:jc w:val="both"/>
        <w:rPr>
          <w:rFonts w:ascii="Times New Roman" w:eastAsia="Arial" w:hAnsi="Times New Roman"/>
          <w:sz w:val="28"/>
          <w:szCs w:val="28"/>
          <w:lang w:val="nl-NL"/>
        </w:rPr>
      </w:pPr>
      <w:r>
        <w:rPr>
          <w:rFonts w:ascii="Times New Roman" w:eastAsia="Arial" w:hAnsi="Times New Roman"/>
          <w:sz w:val="28"/>
          <w:szCs w:val="28"/>
          <w:lang w:val="nl-NL"/>
        </w:rPr>
        <w:t xml:space="preserve">- </w:t>
      </w:r>
      <w:r w:rsidR="00DF2895" w:rsidRPr="00DF2895">
        <w:rPr>
          <w:rFonts w:ascii="Times New Roman" w:eastAsia="Arial" w:hAnsi="Times New Roman"/>
          <w:sz w:val="28"/>
          <w:szCs w:val="28"/>
          <w:lang w:val="nl-NL"/>
        </w:rPr>
        <w:t>Trên cơ sở ý kiến</w:t>
      </w:r>
      <w:r w:rsidRPr="00DF2895">
        <w:rPr>
          <w:rFonts w:ascii="Times New Roman" w:eastAsia="Arial" w:hAnsi="Times New Roman"/>
          <w:sz w:val="28"/>
          <w:szCs w:val="28"/>
          <w:lang w:val="nl-NL"/>
        </w:rPr>
        <w:t xml:space="preserve"> của EVN, để phù hợp với </w:t>
      </w:r>
      <w:r w:rsidR="00DF2895" w:rsidRPr="00DF2895">
        <w:rPr>
          <w:rFonts w:ascii="Times New Roman" w:hAnsi="Times New Roman"/>
          <w:sz w:val="28"/>
          <w:szCs w:val="28"/>
          <w:lang w:val="es-ES"/>
        </w:rPr>
        <w:t xml:space="preserve">quy định về quản lý, sử dụng và trích khấu hao tài sản cố định, khoản 3 Điều 10 được hoàn thiện lại như sau: </w:t>
      </w:r>
      <w:r w:rsidR="00DF2895" w:rsidRPr="00DF2895">
        <w:rPr>
          <w:rFonts w:ascii="Times New Roman" w:hAnsi="Times New Roman"/>
          <w:i/>
          <w:sz w:val="28"/>
          <w:szCs w:val="28"/>
          <w:lang w:val="es-ES"/>
        </w:rPr>
        <w:t>“</w:t>
      </w:r>
      <w:r w:rsidR="00DF2895" w:rsidRPr="00DF2895">
        <w:rPr>
          <w:rFonts w:ascii="Times New Roman" w:eastAsia="Arial" w:hAnsi="Times New Roman"/>
          <w:i/>
          <w:sz w:val="28"/>
          <w:szCs w:val="28"/>
          <w:lang w:val="nl-NL"/>
        </w:rPr>
        <w:t>Việc quản lý, sử dụng và trích khấu hao đối với các tài sản cố định hình thành từ các công trình/hạng mục công trình dự án cấp điện nông thôn, miền núi, hải đảo được thực hiện theo quy định và hướng dẫn của Bộ Tài chính về sử dụng, quản lý và trích khấu hao đối với tài sản cố định. Việc trích khấu hao tài sản cố định được thực hiện bắt đầu từ ngày (theo số ngày của tháng) mà tài sản cố định tăng.”</w:t>
      </w:r>
    </w:p>
    <w:p w:rsidR="00DB40DB" w:rsidRDefault="00DB40DB" w:rsidP="00DB40DB">
      <w:pPr>
        <w:spacing w:before="120" w:after="120" w:line="240" w:lineRule="auto"/>
        <w:ind w:firstLine="720"/>
        <w:jc w:val="both"/>
        <w:rPr>
          <w:rFonts w:ascii="Times New Roman" w:eastAsia="Arial" w:hAnsi="Times New Roman"/>
          <w:sz w:val="28"/>
          <w:szCs w:val="28"/>
          <w:lang w:val="nl-NL"/>
        </w:rPr>
      </w:pPr>
      <w:r>
        <w:rPr>
          <w:rFonts w:ascii="Times New Roman" w:eastAsia="Arial" w:hAnsi="Times New Roman"/>
          <w:sz w:val="28"/>
          <w:szCs w:val="28"/>
          <w:lang w:val="nl-NL"/>
        </w:rPr>
        <w:t xml:space="preserve">2. </w:t>
      </w:r>
      <w:r w:rsidRPr="00DB40DB">
        <w:rPr>
          <w:rFonts w:ascii="Times New Roman" w:eastAsia="Arial" w:hAnsi="Times New Roman"/>
          <w:sz w:val="28"/>
          <w:szCs w:val="28"/>
          <w:lang w:val="nl-NL"/>
        </w:rPr>
        <w:t>Nội dung giải trình</w:t>
      </w:r>
      <w:r>
        <w:rPr>
          <w:rFonts w:ascii="Times New Roman" w:eastAsia="Arial" w:hAnsi="Times New Roman"/>
          <w:sz w:val="28"/>
          <w:szCs w:val="28"/>
          <w:lang w:val="nl-NL"/>
        </w:rPr>
        <w:t>:</w:t>
      </w:r>
    </w:p>
    <w:p w:rsidR="00DB40DB" w:rsidRDefault="00DB40DB" w:rsidP="00DB40DB">
      <w:pPr>
        <w:spacing w:before="120" w:after="120" w:line="240" w:lineRule="auto"/>
        <w:ind w:firstLine="720"/>
        <w:jc w:val="both"/>
        <w:rPr>
          <w:rFonts w:ascii="Times New Roman" w:eastAsia="Arial" w:hAnsi="Times New Roman"/>
          <w:sz w:val="28"/>
          <w:szCs w:val="28"/>
          <w:lang w:val="nl-NL"/>
        </w:rPr>
      </w:pPr>
      <w:r>
        <w:rPr>
          <w:rFonts w:ascii="Times New Roman" w:eastAsia="Arial" w:hAnsi="Times New Roman"/>
          <w:sz w:val="28"/>
          <w:szCs w:val="28"/>
          <w:lang w:val="nl-NL"/>
        </w:rPr>
        <w:t>- Về phạm vi điều chỉnh của Quyết định: một số ý kiến (EVN, Ủy ban Quản lý vốn nhà nước tại doanh nghiệp) đề nghị hướng dẫn bàn giao cho cả các công trình thuộc giai đoạn đầu tư sau năm 2020. Tuy nhiên, việc mở rộng giai đoạn áp dụng sau năm 2020 không phù hợp với phạm vi hướng dẫn mà Thủ tướng Chính phủ đã giao cho Bộ Tài chính tại Quyết định số 2081/QĐ-TTg và 1740/QĐ-TTg. Do đó, Bộ Tài chính đề nghị giữ nguyên Điều 1 như dự thảo Quyết định.</w:t>
      </w:r>
    </w:p>
    <w:p w:rsidR="00DB40DB" w:rsidRDefault="00DB40DB" w:rsidP="00DB40DB">
      <w:pPr>
        <w:spacing w:before="120" w:after="120" w:line="240" w:lineRule="auto"/>
        <w:ind w:firstLine="720"/>
        <w:jc w:val="both"/>
        <w:rPr>
          <w:rFonts w:ascii="Times New Roman" w:hAnsi="Times New Roman"/>
          <w:color w:val="000000"/>
          <w:sz w:val="28"/>
          <w:szCs w:val="28"/>
          <w:shd w:val="clear" w:color="auto" w:fill="FFFFFF"/>
          <w:lang w:val="es-ES"/>
        </w:rPr>
      </w:pPr>
      <w:r>
        <w:rPr>
          <w:rFonts w:ascii="Times New Roman" w:eastAsia="Arial" w:hAnsi="Times New Roman"/>
          <w:sz w:val="28"/>
          <w:szCs w:val="28"/>
          <w:lang w:val="nl-NL"/>
        </w:rPr>
        <w:t xml:space="preserve">- Về trình tự, thủ tục bàn giao: Ủy ban quản lý vốn nhà nước tại doanh nghiệp đề nghị sửa khoản 1 Điều 4 theo hướng </w:t>
      </w:r>
      <w:r w:rsidRPr="009750AE">
        <w:rPr>
          <w:rFonts w:ascii="Times New Roman" w:eastAsia="Arial" w:hAnsi="Times New Roman"/>
          <w:sz w:val="28"/>
          <w:szCs w:val="28"/>
          <w:lang w:val="nl-NL"/>
        </w:rPr>
        <w:t>“</w:t>
      </w:r>
      <w:r w:rsidRPr="009750AE">
        <w:rPr>
          <w:rFonts w:ascii="Times New Roman" w:hAnsi="Times New Roman"/>
          <w:i/>
          <w:sz w:val="28"/>
          <w:szCs w:val="28"/>
          <w:lang w:val="es-ES"/>
        </w:rPr>
        <w:t xml:space="preserve">Sau khi công trình/hạng mục công trình </w:t>
      </w:r>
      <w:r w:rsidRPr="009750AE">
        <w:rPr>
          <w:rFonts w:ascii="Times New Roman" w:hAnsi="Times New Roman"/>
          <w:i/>
          <w:sz w:val="28"/>
          <w:szCs w:val="28"/>
          <w:u w:val="single"/>
          <w:lang w:val="es-ES"/>
        </w:rPr>
        <w:t>hoàn thành quyết toán và đưa vào sử dụng</w:t>
      </w:r>
      <w:r w:rsidRPr="009750AE">
        <w:rPr>
          <w:rFonts w:ascii="Times New Roman" w:hAnsi="Times New Roman"/>
          <w:i/>
          <w:sz w:val="28"/>
          <w:szCs w:val="28"/>
          <w:lang w:val="es-ES"/>
        </w:rPr>
        <w:t>, Bên giao tập hợp đầy đủ hồ sơ…”</w:t>
      </w:r>
      <w:r>
        <w:rPr>
          <w:rFonts w:ascii="Times New Roman" w:hAnsi="Times New Roman"/>
          <w:sz w:val="28"/>
          <w:szCs w:val="28"/>
          <w:lang w:val="es-ES"/>
        </w:rPr>
        <w:t xml:space="preserve"> để bàn giao. Tuy nhiên, </w:t>
      </w:r>
      <w:r w:rsidRPr="009750AE">
        <w:rPr>
          <w:rFonts w:ascii="Times New Roman" w:hAnsi="Times New Roman"/>
          <w:sz w:val="28"/>
          <w:szCs w:val="28"/>
          <w:lang w:val="es-ES"/>
        </w:rPr>
        <w:t>tại khoản 6 Điều 2 Quyết định số 2081/QĐ-TTg</w:t>
      </w:r>
      <w:r>
        <w:rPr>
          <w:rFonts w:ascii="Times New Roman" w:hAnsi="Times New Roman"/>
          <w:sz w:val="28"/>
          <w:szCs w:val="28"/>
          <w:lang w:val="es-ES"/>
        </w:rPr>
        <w:t>, Thủ tướng Chính phủ đã</w:t>
      </w:r>
      <w:r w:rsidRPr="009750AE">
        <w:rPr>
          <w:rFonts w:ascii="Times New Roman" w:hAnsi="Times New Roman"/>
          <w:sz w:val="28"/>
          <w:szCs w:val="28"/>
          <w:lang w:val="es-ES"/>
        </w:rPr>
        <w:t xml:space="preserve"> giao EVN </w:t>
      </w:r>
      <w:r w:rsidRPr="009750AE">
        <w:rPr>
          <w:rFonts w:ascii="Times New Roman" w:hAnsi="Times New Roman"/>
          <w:i/>
          <w:sz w:val="28"/>
          <w:szCs w:val="28"/>
          <w:lang w:val="es-ES"/>
        </w:rPr>
        <w:t>“</w:t>
      </w:r>
      <w:r w:rsidRPr="009750AE">
        <w:rPr>
          <w:rFonts w:ascii="Times New Roman" w:hAnsi="Times New Roman"/>
          <w:i/>
          <w:color w:val="000000"/>
          <w:sz w:val="28"/>
          <w:szCs w:val="28"/>
          <w:shd w:val="clear" w:color="auto" w:fill="FFFFFF"/>
        </w:rPr>
        <w:t xml:space="preserve">Thực hiện tiếp nhận, tổ chức </w:t>
      </w:r>
      <w:r w:rsidRPr="009750AE">
        <w:rPr>
          <w:rFonts w:ascii="Times New Roman" w:hAnsi="Times New Roman"/>
          <w:i/>
          <w:color w:val="000000"/>
          <w:sz w:val="28"/>
          <w:szCs w:val="28"/>
          <w:u w:val="single"/>
          <w:shd w:val="clear" w:color="auto" w:fill="FFFFFF"/>
        </w:rPr>
        <w:t>quản lý vận hành</w:t>
      </w:r>
      <w:r w:rsidRPr="009750AE">
        <w:rPr>
          <w:rFonts w:ascii="Times New Roman" w:hAnsi="Times New Roman"/>
          <w:i/>
          <w:color w:val="000000"/>
          <w:sz w:val="28"/>
          <w:szCs w:val="28"/>
          <w:shd w:val="clear" w:color="auto" w:fill="FFFFFF"/>
        </w:rPr>
        <w:t xml:space="preserve">, bán điện đến hộ dân </w:t>
      </w:r>
      <w:r w:rsidRPr="009750AE">
        <w:rPr>
          <w:rFonts w:ascii="Times New Roman" w:hAnsi="Times New Roman"/>
          <w:i/>
          <w:color w:val="000000"/>
          <w:sz w:val="28"/>
          <w:szCs w:val="28"/>
          <w:u w:val="single"/>
          <w:shd w:val="clear" w:color="auto" w:fill="FFFFFF"/>
        </w:rPr>
        <w:t>sau khi các dự án thành phần</w:t>
      </w:r>
      <w:r w:rsidRPr="009750AE">
        <w:rPr>
          <w:rFonts w:ascii="Times New Roman" w:hAnsi="Times New Roman"/>
          <w:i/>
          <w:color w:val="000000"/>
          <w:sz w:val="28"/>
          <w:szCs w:val="28"/>
          <w:shd w:val="clear" w:color="auto" w:fill="FFFFFF"/>
        </w:rPr>
        <w:t xml:space="preserve"> được </w:t>
      </w:r>
      <w:r w:rsidRPr="009750AE">
        <w:rPr>
          <w:rFonts w:ascii="Times New Roman" w:hAnsi="Times New Roman"/>
          <w:i/>
          <w:color w:val="000000"/>
          <w:sz w:val="28"/>
          <w:szCs w:val="28"/>
          <w:u w:val="single"/>
          <w:shd w:val="clear" w:color="auto" w:fill="FFFFFF"/>
        </w:rPr>
        <w:t>hoàn thành, đưa vào sử dụng</w:t>
      </w:r>
      <w:r w:rsidRPr="009750AE">
        <w:rPr>
          <w:rFonts w:ascii="Times New Roman" w:hAnsi="Times New Roman"/>
          <w:i/>
          <w:color w:val="000000"/>
          <w:sz w:val="28"/>
          <w:szCs w:val="28"/>
          <w:shd w:val="clear" w:color="auto" w:fill="FFFFFF"/>
        </w:rPr>
        <w:t xml:space="preserve">; tổ chức </w:t>
      </w:r>
      <w:r w:rsidRPr="009750AE">
        <w:rPr>
          <w:rFonts w:ascii="Times New Roman" w:hAnsi="Times New Roman"/>
          <w:i/>
          <w:color w:val="000000"/>
          <w:sz w:val="28"/>
          <w:szCs w:val="28"/>
          <w:u w:val="single"/>
          <w:shd w:val="clear" w:color="auto" w:fill="FFFFFF"/>
        </w:rPr>
        <w:t>tiếp nhận vốn, tài sản</w:t>
      </w:r>
      <w:r w:rsidRPr="009750AE">
        <w:rPr>
          <w:rFonts w:ascii="Times New Roman" w:hAnsi="Times New Roman"/>
          <w:i/>
          <w:color w:val="000000"/>
          <w:sz w:val="28"/>
          <w:szCs w:val="28"/>
          <w:shd w:val="clear" w:color="auto" w:fill="FFFFFF"/>
        </w:rPr>
        <w:t xml:space="preserve"> sau khi các dự án thành phần được </w:t>
      </w:r>
      <w:r w:rsidRPr="009750AE">
        <w:rPr>
          <w:rFonts w:ascii="Times New Roman" w:hAnsi="Times New Roman"/>
          <w:i/>
          <w:color w:val="000000"/>
          <w:sz w:val="28"/>
          <w:szCs w:val="28"/>
          <w:u w:val="single"/>
          <w:shd w:val="clear" w:color="auto" w:fill="FFFFFF"/>
        </w:rPr>
        <w:t>quyết toán</w:t>
      </w:r>
      <w:r w:rsidRPr="009750AE">
        <w:rPr>
          <w:rFonts w:ascii="Times New Roman" w:hAnsi="Times New Roman"/>
          <w:i/>
          <w:color w:val="000000"/>
          <w:sz w:val="28"/>
          <w:szCs w:val="28"/>
          <w:shd w:val="clear" w:color="auto" w:fill="FFFFFF"/>
        </w:rPr>
        <w:t>.</w:t>
      </w:r>
      <w:r w:rsidRPr="009750AE">
        <w:rPr>
          <w:rFonts w:ascii="Times New Roman" w:hAnsi="Times New Roman"/>
          <w:i/>
          <w:color w:val="000000"/>
          <w:sz w:val="28"/>
          <w:szCs w:val="28"/>
          <w:shd w:val="clear" w:color="auto" w:fill="FFFFFF"/>
          <w:lang w:val="es-ES"/>
        </w:rPr>
        <w:t>”</w:t>
      </w:r>
      <w:r w:rsidRPr="009750AE">
        <w:rPr>
          <w:rFonts w:ascii="Times New Roman" w:hAnsi="Times New Roman"/>
          <w:color w:val="000000"/>
          <w:sz w:val="28"/>
          <w:szCs w:val="28"/>
          <w:shd w:val="clear" w:color="auto" w:fill="FFFFFF"/>
          <w:lang w:val="es-ES"/>
        </w:rPr>
        <w:t xml:space="preserve"> Như vậy, ngay sau khi dự án hoàn thành, UBND tỉnh/thành phố trực thuộc trung ương đã thực hiện bàn giao cho ngành điện để quản lý, vận hành trước và đồng thời tổ chức thực hiện quyết toán dự án hoàn thành theo quy định, không đợi đến khi hoàn thành quyết toán thì mới bàn giao</w:t>
      </w:r>
      <w:r>
        <w:rPr>
          <w:rFonts w:ascii="Times New Roman" w:hAnsi="Times New Roman"/>
          <w:color w:val="000000"/>
          <w:sz w:val="28"/>
          <w:szCs w:val="28"/>
          <w:shd w:val="clear" w:color="auto" w:fill="FFFFFF"/>
          <w:lang w:val="es-ES"/>
        </w:rPr>
        <w:t xml:space="preserve">. Do đó, </w:t>
      </w:r>
      <w:r>
        <w:rPr>
          <w:rFonts w:ascii="Times New Roman" w:eastAsia="Arial" w:hAnsi="Times New Roman"/>
          <w:sz w:val="28"/>
          <w:szCs w:val="28"/>
          <w:lang w:val="nl-NL"/>
        </w:rPr>
        <w:t xml:space="preserve">Bộ Tài chính </w:t>
      </w:r>
      <w:r>
        <w:rPr>
          <w:rFonts w:ascii="Times New Roman" w:hAnsi="Times New Roman"/>
          <w:color w:val="000000"/>
          <w:sz w:val="28"/>
          <w:szCs w:val="28"/>
          <w:shd w:val="clear" w:color="auto" w:fill="FFFFFF"/>
          <w:lang w:val="es-ES"/>
        </w:rPr>
        <w:t>đề nghị giữ nguyên khoản 1 Điều 4 như dự thảo Quyết định.</w:t>
      </w:r>
    </w:p>
    <w:p w:rsidR="00DB40DB" w:rsidRPr="009750AE" w:rsidRDefault="00DB40DB" w:rsidP="00DB40DB">
      <w:pPr>
        <w:spacing w:before="120" w:after="120" w:line="240" w:lineRule="auto"/>
        <w:ind w:firstLine="720"/>
        <w:jc w:val="both"/>
        <w:rPr>
          <w:rFonts w:ascii="Times New Roman" w:eastAsia="Arial" w:hAnsi="Times New Roman"/>
          <w:sz w:val="28"/>
          <w:szCs w:val="28"/>
          <w:lang w:val="nl-NL"/>
        </w:rPr>
      </w:pPr>
      <w:r>
        <w:rPr>
          <w:rFonts w:ascii="Times New Roman" w:hAnsi="Times New Roman"/>
          <w:color w:val="000000"/>
          <w:sz w:val="28"/>
          <w:szCs w:val="28"/>
          <w:shd w:val="clear" w:color="auto" w:fill="FFFFFF"/>
          <w:lang w:val="es-ES"/>
        </w:rPr>
        <w:t xml:space="preserve">+ Một số ý kiến khác, </w:t>
      </w:r>
      <w:r>
        <w:rPr>
          <w:rFonts w:ascii="Times New Roman" w:eastAsia="Arial" w:hAnsi="Times New Roman"/>
          <w:sz w:val="28"/>
          <w:szCs w:val="28"/>
          <w:lang w:val="nl-NL"/>
        </w:rPr>
        <w:t xml:space="preserve">Bộ Tài chính </w:t>
      </w:r>
      <w:r>
        <w:rPr>
          <w:rFonts w:ascii="Times New Roman" w:hAnsi="Times New Roman"/>
          <w:color w:val="000000"/>
          <w:sz w:val="28"/>
          <w:szCs w:val="28"/>
          <w:shd w:val="clear" w:color="auto" w:fill="FFFFFF"/>
          <w:lang w:val="es-ES"/>
        </w:rPr>
        <w:t>đã giải trình cụ thể tại Bảng tổng hợp, giải trình và tiếp thu ý kiến tham gia của các cơ quan, đơn vị đối với dự thảo Quyết định (kèm theo).</w:t>
      </w:r>
    </w:p>
    <w:p w:rsidR="0002653C" w:rsidRPr="002D72EF" w:rsidRDefault="0002653C" w:rsidP="007B14DB">
      <w:pPr>
        <w:spacing w:before="120" w:after="120" w:line="240" w:lineRule="auto"/>
        <w:ind w:left="-90"/>
        <w:jc w:val="both"/>
        <w:rPr>
          <w:rFonts w:ascii="Times New Roman" w:hAnsi="Times New Roman"/>
          <w:b/>
          <w:sz w:val="28"/>
          <w:szCs w:val="28"/>
          <w:lang w:val="nl-NL"/>
        </w:rPr>
      </w:pPr>
      <w:r>
        <w:rPr>
          <w:rFonts w:ascii="Times New Roman" w:hAnsi="Times New Roman"/>
          <w:sz w:val="28"/>
          <w:szCs w:val="28"/>
          <w:lang w:val="nl-NL"/>
        </w:rPr>
        <w:tab/>
      </w:r>
      <w:r>
        <w:rPr>
          <w:rFonts w:ascii="Times New Roman" w:hAnsi="Times New Roman"/>
          <w:sz w:val="28"/>
          <w:szCs w:val="28"/>
          <w:lang w:val="nl-NL"/>
        </w:rPr>
        <w:tab/>
      </w:r>
      <w:r w:rsidRPr="002D72EF">
        <w:rPr>
          <w:rFonts w:ascii="Times New Roman" w:hAnsi="Times New Roman"/>
          <w:b/>
          <w:sz w:val="28"/>
          <w:szCs w:val="28"/>
          <w:lang w:val="nl-NL"/>
        </w:rPr>
        <w:t>IV. Ý kiến thẩm định của Bộ Tư pháp</w:t>
      </w:r>
    </w:p>
    <w:p w:rsidR="0002653C" w:rsidRPr="002D72EF" w:rsidRDefault="0002653C" w:rsidP="007B14DB">
      <w:pPr>
        <w:spacing w:before="120" w:after="120" w:line="240" w:lineRule="auto"/>
        <w:ind w:left="-90"/>
        <w:jc w:val="both"/>
        <w:rPr>
          <w:rFonts w:ascii="Times New Roman" w:hAnsi="Times New Roman"/>
          <w:b/>
          <w:i/>
          <w:sz w:val="28"/>
          <w:szCs w:val="28"/>
          <w:lang w:val="nl-NL"/>
        </w:rPr>
      </w:pPr>
      <w:r w:rsidRPr="002D72EF">
        <w:rPr>
          <w:rFonts w:ascii="Times New Roman" w:hAnsi="Times New Roman"/>
          <w:b/>
          <w:sz w:val="28"/>
          <w:szCs w:val="28"/>
          <w:lang w:val="nl-NL"/>
        </w:rPr>
        <w:tab/>
      </w:r>
      <w:r w:rsidRPr="002D72EF">
        <w:rPr>
          <w:rFonts w:ascii="Times New Roman" w:hAnsi="Times New Roman"/>
          <w:b/>
          <w:sz w:val="28"/>
          <w:szCs w:val="28"/>
          <w:lang w:val="nl-NL"/>
        </w:rPr>
        <w:tab/>
      </w:r>
      <w:r w:rsidR="00EB7657">
        <w:rPr>
          <w:rFonts w:ascii="Times New Roman" w:hAnsi="Times New Roman"/>
          <w:b/>
          <w:i/>
          <w:sz w:val="28"/>
          <w:szCs w:val="28"/>
          <w:lang w:val="nl-NL"/>
        </w:rPr>
        <w:t>....</w:t>
      </w:r>
    </w:p>
    <w:p w:rsidR="006449F4" w:rsidRDefault="0002653C" w:rsidP="007B14DB">
      <w:pPr>
        <w:spacing w:before="120" w:after="120" w:line="240" w:lineRule="auto"/>
        <w:ind w:firstLine="720"/>
        <w:jc w:val="both"/>
        <w:rPr>
          <w:rFonts w:ascii="Times New Roman" w:hAnsi="Times New Roman"/>
          <w:sz w:val="28"/>
          <w:szCs w:val="28"/>
          <w:lang w:val="nl-NL"/>
        </w:rPr>
      </w:pPr>
      <w:r w:rsidRPr="002D72EF">
        <w:rPr>
          <w:rFonts w:ascii="Times New Roman" w:hAnsi="Times New Roman"/>
          <w:sz w:val="28"/>
          <w:szCs w:val="28"/>
          <w:lang w:val="nl-NL"/>
        </w:rPr>
        <w:lastRenderedPageBreak/>
        <w:t xml:space="preserve">Trên đây là nội dung cơ bản của </w:t>
      </w:r>
      <w:r w:rsidR="006449F4">
        <w:rPr>
          <w:rFonts w:ascii="Times New Roman" w:hAnsi="Times New Roman"/>
          <w:sz w:val="28"/>
          <w:szCs w:val="28"/>
          <w:lang w:val="nl-NL"/>
        </w:rPr>
        <w:t xml:space="preserve">quá trình xây dựng </w:t>
      </w:r>
      <w:r w:rsidRPr="002D72EF">
        <w:rPr>
          <w:rFonts w:ascii="Times New Roman" w:hAnsi="Times New Roman"/>
          <w:sz w:val="28"/>
          <w:szCs w:val="28"/>
          <w:lang w:val="nl-NL"/>
        </w:rPr>
        <w:t>dự thảo Quyết định của Thủ tướng Chính phủ hướng dẫn việc bàn giao</w:t>
      </w:r>
      <w:r w:rsidR="006449F4">
        <w:rPr>
          <w:rFonts w:ascii="Times New Roman" w:hAnsi="Times New Roman"/>
          <w:sz w:val="28"/>
          <w:szCs w:val="28"/>
          <w:lang w:val="nl-NL"/>
        </w:rPr>
        <w:t>, tiếp nhận vốn, tài sản và hoàn trả vốn đối với các dự án thành phần thuộc Chương trình cấp điện nông thôn, miền núi và hải đảo giai đoạn 2013 - 2020</w:t>
      </w:r>
      <w:r w:rsidRPr="002D72EF">
        <w:rPr>
          <w:rFonts w:ascii="Times New Roman" w:hAnsi="Times New Roman"/>
          <w:sz w:val="28"/>
          <w:szCs w:val="28"/>
          <w:lang w:val="nl-NL"/>
        </w:rPr>
        <w:t xml:space="preserve"> </w:t>
      </w:r>
      <w:r w:rsidR="006449F4">
        <w:rPr>
          <w:rFonts w:ascii="Times New Roman" w:hAnsi="Times New Roman"/>
          <w:sz w:val="28"/>
          <w:szCs w:val="28"/>
          <w:lang w:val="nl-NL"/>
        </w:rPr>
        <w:t>.</w:t>
      </w:r>
    </w:p>
    <w:p w:rsidR="0002653C" w:rsidRPr="002D72EF" w:rsidRDefault="0002653C" w:rsidP="007B14DB">
      <w:pPr>
        <w:spacing w:before="120" w:after="120" w:line="240" w:lineRule="auto"/>
        <w:ind w:firstLine="720"/>
        <w:jc w:val="both"/>
        <w:rPr>
          <w:rFonts w:ascii="Times New Roman" w:hAnsi="Times New Roman"/>
          <w:sz w:val="28"/>
          <w:szCs w:val="28"/>
          <w:lang w:val="nl-NL"/>
        </w:rPr>
      </w:pPr>
      <w:r w:rsidRPr="00684DC3">
        <w:rPr>
          <w:rFonts w:ascii="Times New Roman" w:hAnsi="Times New Roman"/>
          <w:sz w:val="28"/>
          <w:szCs w:val="28"/>
          <w:lang w:val="nl-NL"/>
        </w:rPr>
        <w:t xml:space="preserve">Bộ Tài chính </w:t>
      </w:r>
      <w:r w:rsidR="006449F4">
        <w:rPr>
          <w:rFonts w:ascii="Times New Roman" w:hAnsi="Times New Roman"/>
          <w:sz w:val="28"/>
          <w:szCs w:val="28"/>
          <w:lang w:val="nl-NL"/>
        </w:rPr>
        <w:t>t</w:t>
      </w:r>
      <w:r w:rsidRPr="00684DC3">
        <w:rPr>
          <w:rFonts w:ascii="Times New Roman" w:hAnsi="Times New Roman"/>
          <w:sz w:val="28"/>
          <w:szCs w:val="28"/>
          <w:lang w:val="nl-NL"/>
        </w:rPr>
        <w:t xml:space="preserve">rình </w:t>
      </w:r>
      <w:r w:rsidR="006449F4">
        <w:rPr>
          <w:rFonts w:ascii="Times New Roman" w:hAnsi="Times New Roman"/>
          <w:sz w:val="28"/>
          <w:szCs w:val="28"/>
          <w:lang w:val="nl-NL"/>
        </w:rPr>
        <w:t xml:space="preserve">Thủ tướng </w:t>
      </w:r>
      <w:r w:rsidRPr="00684DC3">
        <w:rPr>
          <w:rFonts w:ascii="Times New Roman" w:hAnsi="Times New Roman"/>
          <w:sz w:val="28"/>
          <w:szCs w:val="28"/>
          <w:lang w:val="nl-NL"/>
        </w:rPr>
        <w:t>Chính phủ xem xét, quyết định./.</w:t>
      </w:r>
    </w:p>
    <w:p w:rsidR="0002653C" w:rsidRDefault="0002653C" w:rsidP="00355EA0">
      <w:pPr>
        <w:spacing w:before="120" w:after="240" w:line="240" w:lineRule="auto"/>
        <w:ind w:firstLine="720"/>
        <w:rPr>
          <w:rFonts w:ascii="Times New Roman" w:hAnsi="Times New Roman"/>
          <w:i/>
          <w:sz w:val="28"/>
          <w:szCs w:val="28"/>
          <w:lang w:val="nl-NL"/>
        </w:rPr>
      </w:pPr>
      <w:r>
        <w:rPr>
          <w:rFonts w:ascii="Times New Roman" w:hAnsi="Times New Roman"/>
          <w:i/>
          <w:sz w:val="28"/>
          <w:szCs w:val="28"/>
          <w:lang w:val="nl-NL"/>
        </w:rPr>
        <w:t>(</w:t>
      </w:r>
      <w:r w:rsidRPr="005C2F71">
        <w:rPr>
          <w:rFonts w:ascii="Times New Roman" w:hAnsi="Times New Roman"/>
          <w:i/>
          <w:sz w:val="28"/>
          <w:szCs w:val="28"/>
          <w:lang w:val="nl-NL"/>
        </w:rPr>
        <w:t>Gử</w:t>
      </w:r>
      <w:r w:rsidR="00EB7657">
        <w:rPr>
          <w:rFonts w:ascii="Times New Roman" w:hAnsi="Times New Roman"/>
          <w:i/>
          <w:sz w:val="28"/>
          <w:szCs w:val="28"/>
          <w:lang w:val="nl-NL"/>
        </w:rPr>
        <w:t>i kèm:</w:t>
      </w:r>
      <w:r>
        <w:rPr>
          <w:rFonts w:ascii="Times New Roman" w:hAnsi="Times New Roman"/>
          <w:i/>
          <w:sz w:val="28"/>
          <w:szCs w:val="28"/>
          <w:lang w:val="nl-NL"/>
        </w:rPr>
        <w:t xml:space="preserve"> </w:t>
      </w:r>
      <w:r w:rsidRPr="005C2F71">
        <w:rPr>
          <w:rFonts w:ascii="Times New Roman" w:hAnsi="Times New Roman"/>
          <w:i/>
          <w:sz w:val="28"/>
          <w:szCs w:val="28"/>
          <w:lang w:val="nl-NL"/>
        </w:rPr>
        <w:t xml:space="preserve">Dự thảo </w:t>
      </w:r>
      <w:r>
        <w:rPr>
          <w:rFonts w:ascii="Times New Roman" w:hAnsi="Times New Roman"/>
          <w:i/>
          <w:sz w:val="28"/>
          <w:szCs w:val="28"/>
          <w:lang w:val="nl-NL"/>
        </w:rPr>
        <w:t>Quyết định của Thủ tướng Chính phủ)</w:t>
      </w:r>
      <w:r w:rsidR="006869CE">
        <w:rPr>
          <w:rFonts w:ascii="Times New Roman" w:hAnsi="Times New Roman"/>
          <w:i/>
          <w:sz w:val="28"/>
          <w:szCs w:val="28"/>
          <w:lang w:val="nl-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7"/>
        <w:gridCol w:w="4499"/>
      </w:tblGrid>
      <w:tr w:rsidR="0002653C" w:rsidRPr="0034363D" w:rsidTr="00EB7657">
        <w:tc>
          <w:tcPr>
            <w:tcW w:w="4787" w:type="dxa"/>
            <w:tcBorders>
              <w:top w:val="nil"/>
              <w:left w:val="nil"/>
              <w:bottom w:val="nil"/>
              <w:right w:val="nil"/>
            </w:tcBorders>
          </w:tcPr>
          <w:p w:rsidR="0002653C" w:rsidRPr="0034363D" w:rsidRDefault="0002653C" w:rsidP="006449F4">
            <w:pPr>
              <w:spacing w:after="0" w:line="240" w:lineRule="auto"/>
              <w:jc w:val="both"/>
              <w:rPr>
                <w:rFonts w:ascii="Times New Roman" w:hAnsi="Times New Roman"/>
                <w:sz w:val="24"/>
                <w:szCs w:val="24"/>
                <w:lang w:val="nl-NL"/>
              </w:rPr>
            </w:pPr>
            <w:r w:rsidRPr="0034363D">
              <w:rPr>
                <w:rFonts w:ascii="Times New Roman" w:hAnsi="Times New Roman"/>
                <w:b/>
                <w:i/>
                <w:sz w:val="24"/>
                <w:szCs w:val="24"/>
                <w:lang w:val="nl-NL"/>
              </w:rPr>
              <w:t>Nơi nhận:</w:t>
            </w:r>
          </w:p>
        </w:tc>
        <w:tc>
          <w:tcPr>
            <w:tcW w:w="4499" w:type="dxa"/>
            <w:tcBorders>
              <w:top w:val="nil"/>
              <w:left w:val="nil"/>
              <w:bottom w:val="nil"/>
              <w:right w:val="nil"/>
            </w:tcBorders>
          </w:tcPr>
          <w:p w:rsidR="0002653C" w:rsidRPr="0034363D" w:rsidRDefault="0002653C" w:rsidP="006449F4">
            <w:pPr>
              <w:spacing w:after="0" w:line="240" w:lineRule="auto"/>
              <w:jc w:val="center"/>
              <w:rPr>
                <w:rFonts w:ascii="Times New Roman" w:hAnsi="Times New Roman"/>
                <w:b/>
                <w:sz w:val="26"/>
                <w:lang w:val="nl-NL"/>
              </w:rPr>
            </w:pPr>
            <w:r w:rsidRPr="0034363D">
              <w:rPr>
                <w:rFonts w:ascii="Times New Roman" w:hAnsi="Times New Roman"/>
                <w:b/>
                <w:sz w:val="26"/>
                <w:lang w:val="nl-NL"/>
              </w:rPr>
              <w:t>KT. BỘ TRƯỞNG</w:t>
            </w:r>
          </w:p>
        </w:tc>
      </w:tr>
      <w:tr w:rsidR="0002653C" w:rsidRPr="0034363D" w:rsidTr="00EB7657">
        <w:tc>
          <w:tcPr>
            <w:tcW w:w="4787" w:type="dxa"/>
            <w:tcBorders>
              <w:top w:val="nil"/>
              <w:left w:val="nil"/>
              <w:bottom w:val="nil"/>
              <w:right w:val="nil"/>
            </w:tcBorders>
          </w:tcPr>
          <w:p w:rsidR="0002653C" w:rsidRPr="0034363D" w:rsidRDefault="0002653C" w:rsidP="006449F4">
            <w:pPr>
              <w:spacing w:after="0" w:line="240" w:lineRule="auto"/>
              <w:jc w:val="both"/>
              <w:rPr>
                <w:rFonts w:ascii="Times New Roman" w:hAnsi="Times New Roman"/>
                <w:lang w:val="nl-NL"/>
              </w:rPr>
            </w:pPr>
            <w:r w:rsidRPr="0034363D">
              <w:rPr>
                <w:rFonts w:ascii="Times New Roman" w:hAnsi="Times New Roman"/>
                <w:lang w:val="nl-NL"/>
              </w:rPr>
              <w:t>- Như trên;</w:t>
            </w:r>
          </w:p>
          <w:p w:rsidR="0002653C" w:rsidRPr="0034363D" w:rsidRDefault="0002653C" w:rsidP="006449F4">
            <w:pPr>
              <w:spacing w:after="0" w:line="240" w:lineRule="auto"/>
              <w:jc w:val="both"/>
              <w:rPr>
                <w:rFonts w:ascii="Times New Roman" w:hAnsi="Times New Roman"/>
                <w:lang w:val="nl-NL"/>
              </w:rPr>
            </w:pPr>
            <w:r w:rsidRPr="0034363D">
              <w:rPr>
                <w:rFonts w:ascii="Times New Roman" w:hAnsi="Times New Roman"/>
                <w:lang w:val="nl-NL"/>
              </w:rPr>
              <w:t>- Thủ tướng, các Phó Thủ tướng Chính phủ;</w:t>
            </w:r>
          </w:p>
          <w:p w:rsidR="0002653C" w:rsidRPr="0034363D" w:rsidRDefault="0002653C" w:rsidP="006449F4">
            <w:pPr>
              <w:spacing w:after="0" w:line="240" w:lineRule="auto"/>
              <w:jc w:val="both"/>
              <w:rPr>
                <w:rFonts w:ascii="Times New Roman" w:hAnsi="Times New Roman"/>
                <w:lang w:val="nl-NL"/>
              </w:rPr>
            </w:pPr>
            <w:r w:rsidRPr="0034363D">
              <w:rPr>
                <w:rFonts w:ascii="Times New Roman" w:hAnsi="Times New Roman"/>
                <w:lang w:val="nl-NL"/>
              </w:rPr>
              <w:t>- Văn phòng Chính phủ;</w:t>
            </w:r>
          </w:p>
          <w:p w:rsidR="0002653C" w:rsidRPr="0034363D" w:rsidRDefault="0002653C" w:rsidP="006449F4">
            <w:pPr>
              <w:spacing w:after="0" w:line="240" w:lineRule="auto"/>
              <w:jc w:val="both"/>
              <w:rPr>
                <w:rFonts w:ascii="Times New Roman" w:hAnsi="Times New Roman"/>
                <w:lang w:val="nl-NL"/>
              </w:rPr>
            </w:pPr>
            <w:r w:rsidRPr="0034363D">
              <w:rPr>
                <w:rFonts w:ascii="Times New Roman" w:hAnsi="Times New Roman"/>
                <w:lang w:val="nl-NL"/>
              </w:rPr>
              <w:t xml:space="preserve">- Bộ trưởng Đinh Tiến Dũng (để báo cáo); </w:t>
            </w:r>
          </w:p>
          <w:p w:rsidR="0002653C" w:rsidRPr="0034363D" w:rsidRDefault="0002653C" w:rsidP="006449F4">
            <w:pPr>
              <w:spacing w:after="0" w:line="240" w:lineRule="auto"/>
              <w:jc w:val="both"/>
              <w:rPr>
                <w:rFonts w:ascii="Times New Roman" w:hAnsi="Times New Roman"/>
                <w:sz w:val="24"/>
                <w:szCs w:val="24"/>
                <w:lang w:val="nl-NL"/>
              </w:rPr>
            </w:pPr>
            <w:r w:rsidRPr="0034363D">
              <w:rPr>
                <w:rFonts w:ascii="Times New Roman" w:hAnsi="Times New Roman"/>
                <w:lang w:val="nl-NL"/>
              </w:rPr>
              <w:t>- Lưu: VT, Cục TCDN (</w:t>
            </w:r>
            <w:r w:rsidR="00EB7657">
              <w:rPr>
                <w:rFonts w:ascii="Times New Roman" w:hAnsi="Times New Roman"/>
                <w:lang w:val="nl-NL"/>
              </w:rPr>
              <w:t>.....</w:t>
            </w:r>
            <w:r w:rsidRPr="0034363D">
              <w:rPr>
                <w:rFonts w:ascii="Times New Roman" w:hAnsi="Times New Roman"/>
                <w:lang w:val="nl-NL"/>
              </w:rPr>
              <w:t>b).</w:t>
            </w:r>
          </w:p>
        </w:tc>
        <w:tc>
          <w:tcPr>
            <w:tcW w:w="4499" w:type="dxa"/>
            <w:tcBorders>
              <w:top w:val="nil"/>
              <w:left w:val="nil"/>
              <w:bottom w:val="nil"/>
              <w:right w:val="nil"/>
            </w:tcBorders>
          </w:tcPr>
          <w:p w:rsidR="0002653C" w:rsidRPr="0034363D" w:rsidRDefault="0002653C" w:rsidP="006449F4">
            <w:pPr>
              <w:spacing w:after="0" w:line="240" w:lineRule="auto"/>
              <w:jc w:val="center"/>
              <w:rPr>
                <w:rFonts w:ascii="Times New Roman" w:hAnsi="Times New Roman"/>
                <w:b/>
                <w:sz w:val="26"/>
                <w:lang w:val="nl-NL"/>
              </w:rPr>
            </w:pPr>
            <w:r w:rsidRPr="0034363D">
              <w:rPr>
                <w:rFonts w:ascii="Times New Roman" w:hAnsi="Times New Roman"/>
                <w:b/>
                <w:sz w:val="26"/>
                <w:lang w:val="nl-NL"/>
              </w:rPr>
              <w:t>THỨ TRƯỞNG</w:t>
            </w:r>
          </w:p>
          <w:p w:rsidR="0002653C" w:rsidRPr="0034363D" w:rsidRDefault="0002653C" w:rsidP="006449F4">
            <w:pPr>
              <w:spacing w:after="0" w:line="240" w:lineRule="auto"/>
              <w:jc w:val="center"/>
              <w:rPr>
                <w:rFonts w:ascii="Times New Roman" w:hAnsi="Times New Roman"/>
                <w:b/>
                <w:sz w:val="26"/>
                <w:lang w:val="nl-NL"/>
              </w:rPr>
            </w:pPr>
          </w:p>
          <w:p w:rsidR="0002653C" w:rsidRDefault="0002653C" w:rsidP="006449F4">
            <w:pPr>
              <w:spacing w:after="0" w:line="240" w:lineRule="auto"/>
              <w:jc w:val="center"/>
              <w:rPr>
                <w:rFonts w:ascii="Times New Roman" w:hAnsi="Times New Roman"/>
                <w:b/>
                <w:sz w:val="26"/>
                <w:lang w:val="nl-NL"/>
              </w:rPr>
            </w:pPr>
          </w:p>
          <w:p w:rsidR="00355EA0" w:rsidRPr="0034363D" w:rsidRDefault="00355EA0" w:rsidP="006449F4">
            <w:pPr>
              <w:spacing w:after="0" w:line="240" w:lineRule="auto"/>
              <w:jc w:val="center"/>
              <w:rPr>
                <w:rFonts w:ascii="Times New Roman" w:hAnsi="Times New Roman"/>
                <w:b/>
                <w:sz w:val="26"/>
                <w:lang w:val="nl-NL"/>
              </w:rPr>
            </w:pPr>
          </w:p>
          <w:p w:rsidR="0002653C" w:rsidRPr="0034363D" w:rsidRDefault="0002653C" w:rsidP="006449F4">
            <w:pPr>
              <w:spacing w:after="0" w:line="240" w:lineRule="auto"/>
              <w:jc w:val="center"/>
              <w:rPr>
                <w:rFonts w:ascii="Times New Roman" w:hAnsi="Times New Roman"/>
                <w:b/>
                <w:lang w:val="nl-NL"/>
              </w:rPr>
            </w:pPr>
          </w:p>
          <w:p w:rsidR="0002653C" w:rsidRPr="0034363D" w:rsidRDefault="0002653C" w:rsidP="006449F4">
            <w:pPr>
              <w:spacing w:after="0" w:line="240" w:lineRule="auto"/>
              <w:jc w:val="center"/>
              <w:rPr>
                <w:rFonts w:ascii="Times New Roman" w:hAnsi="Times New Roman"/>
                <w:b/>
                <w:lang w:val="nl-NL"/>
              </w:rPr>
            </w:pPr>
          </w:p>
          <w:p w:rsidR="0002653C" w:rsidRPr="0034363D" w:rsidRDefault="0002653C" w:rsidP="006449F4">
            <w:pPr>
              <w:spacing w:after="0" w:line="240" w:lineRule="auto"/>
              <w:jc w:val="center"/>
              <w:rPr>
                <w:rFonts w:ascii="Times New Roman" w:hAnsi="Times New Roman"/>
                <w:b/>
                <w:lang w:val="nl-NL"/>
              </w:rPr>
            </w:pPr>
          </w:p>
          <w:p w:rsidR="0002653C" w:rsidRDefault="0002653C" w:rsidP="006449F4">
            <w:pPr>
              <w:spacing w:after="0" w:line="240" w:lineRule="auto"/>
              <w:jc w:val="center"/>
              <w:rPr>
                <w:rFonts w:ascii="Times New Roman" w:hAnsi="Times New Roman"/>
                <w:b/>
                <w:lang w:val="nl-NL"/>
              </w:rPr>
            </w:pPr>
          </w:p>
          <w:p w:rsidR="0002653C" w:rsidRPr="0034363D" w:rsidRDefault="00355EA0" w:rsidP="006449F4">
            <w:pPr>
              <w:spacing w:after="0" w:line="240" w:lineRule="auto"/>
              <w:jc w:val="center"/>
              <w:rPr>
                <w:rFonts w:ascii="Times New Roman" w:hAnsi="Times New Roman"/>
                <w:b/>
                <w:sz w:val="28"/>
                <w:szCs w:val="28"/>
                <w:lang w:val="nl-NL"/>
              </w:rPr>
            </w:pPr>
            <w:r>
              <w:rPr>
                <w:rFonts w:ascii="Times New Roman" w:hAnsi="Times New Roman"/>
                <w:b/>
                <w:sz w:val="28"/>
                <w:szCs w:val="28"/>
                <w:lang w:val="nl-NL"/>
              </w:rPr>
              <w:t>Huỳnh Quang Hải</w:t>
            </w:r>
          </w:p>
        </w:tc>
      </w:tr>
    </w:tbl>
    <w:p w:rsidR="0002653C" w:rsidRPr="00684DC3" w:rsidRDefault="0002653C">
      <w:pPr>
        <w:tabs>
          <w:tab w:val="left" w:pos="3431"/>
        </w:tabs>
        <w:rPr>
          <w:rFonts w:ascii="Times New Roman" w:hAnsi="Times New Roman"/>
          <w:sz w:val="28"/>
          <w:szCs w:val="28"/>
          <w:lang w:val="nl-NL"/>
        </w:rPr>
      </w:pPr>
    </w:p>
    <w:sectPr w:rsidR="0002653C" w:rsidRPr="00684DC3" w:rsidSect="00392082">
      <w:footerReference w:type="default" r:id="rId8"/>
      <w:footerReference w:type="first" r:id="rId9"/>
      <w:pgSz w:w="11906" w:h="16838" w:code="9"/>
      <w:pgMar w:top="1134" w:right="1274" w:bottom="1134" w:left="1418" w:header="709" w:footer="27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09E" w:rsidRDefault="00F9609E" w:rsidP="00297B17">
      <w:pPr>
        <w:spacing w:after="0" w:line="240" w:lineRule="auto"/>
      </w:pPr>
      <w:r>
        <w:separator/>
      </w:r>
    </w:p>
  </w:endnote>
  <w:endnote w:type="continuationSeparator" w:id="0">
    <w:p w:rsidR="00F9609E" w:rsidRDefault="00F9609E" w:rsidP="00297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21002A87" w:usb1="80000000" w:usb2="00000008" w:usb3="00000000" w:csb0="000101FF" w:csb1="00000000"/>
  </w:font>
  <w:font w:name="Arial">
    <w:panose1 w:val="020B0604020202020204"/>
    <w:charset w:val="A3"/>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3C" w:rsidRPr="00477E83" w:rsidRDefault="0033545C">
    <w:pPr>
      <w:pStyle w:val="Footer"/>
      <w:jc w:val="right"/>
      <w:rPr>
        <w:rFonts w:ascii="Times New Roman" w:hAnsi="Times New Roman"/>
        <w:sz w:val="24"/>
        <w:szCs w:val="24"/>
      </w:rPr>
    </w:pPr>
    <w:r w:rsidRPr="00477E83">
      <w:rPr>
        <w:rFonts w:ascii="Times New Roman" w:hAnsi="Times New Roman"/>
        <w:sz w:val="24"/>
        <w:szCs w:val="24"/>
      </w:rPr>
      <w:fldChar w:fldCharType="begin"/>
    </w:r>
    <w:r w:rsidR="0002653C" w:rsidRPr="00477E83">
      <w:rPr>
        <w:rFonts w:ascii="Times New Roman" w:hAnsi="Times New Roman"/>
        <w:sz w:val="24"/>
        <w:szCs w:val="24"/>
      </w:rPr>
      <w:instrText xml:space="preserve"> PAGE   \* MERGEFORMAT </w:instrText>
    </w:r>
    <w:r w:rsidRPr="00477E83">
      <w:rPr>
        <w:rFonts w:ascii="Times New Roman" w:hAnsi="Times New Roman"/>
        <w:sz w:val="24"/>
        <w:szCs w:val="24"/>
      </w:rPr>
      <w:fldChar w:fldCharType="separate"/>
    </w:r>
    <w:r w:rsidR="00A744DA">
      <w:rPr>
        <w:rFonts w:ascii="Times New Roman" w:hAnsi="Times New Roman"/>
        <w:noProof/>
        <w:sz w:val="24"/>
        <w:szCs w:val="24"/>
      </w:rPr>
      <w:t>9</w:t>
    </w:r>
    <w:r w:rsidRPr="00477E83">
      <w:rPr>
        <w:rFonts w:ascii="Times New Roman" w:hAnsi="Times New Roman"/>
        <w:sz w:val="24"/>
        <w:szCs w:val="24"/>
      </w:rPr>
      <w:fldChar w:fldCharType="end"/>
    </w:r>
  </w:p>
  <w:p w:rsidR="0002653C" w:rsidRDefault="000265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3C" w:rsidRDefault="0002653C">
    <w:pPr>
      <w:pStyle w:val="Footer"/>
      <w:jc w:val="right"/>
    </w:pPr>
  </w:p>
  <w:p w:rsidR="0002653C" w:rsidRDefault="000265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09E" w:rsidRDefault="00F9609E" w:rsidP="00297B17">
      <w:pPr>
        <w:spacing w:after="0" w:line="240" w:lineRule="auto"/>
      </w:pPr>
      <w:r>
        <w:separator/>
      </w:r>
    </w:p>
  </w:footnote>
  <w:footnote w:type="continuationSeparator" w:id="0">
    <w:p w:rsidR="00F9609E" w:rsidRDefault="00F9609E" w:rsidP="00297B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25E6E"/>
    <w:multiLevelType w:val="hybridMultilevel"/>
    <w:tmpl w:val="D730DE96"/>
    <w:lvl w:ilvl="0" w:tplc="7BCCB6CA">
      <w:numFmt w:val="bullet"/>
      <w:lvlText w:val="-"/>
      <w:lvlJc w:val="left"/>
      <w:pPr>
        <w:ind w:left="927" w:hanging="360"/>
      </w:pPr>
      <w:rPr>
        <w:rFonts w:ascii="Times New Roman" w:eastAsia="Times New Roman" w:hAnsi="Times New Roman" w:hint="default"/>
      </w:rPr>
    </w:lvl>
    <w:lvl w:ilvl="1" w:tplc="042A0003" w:tentative="1">
      <w:start w:val="1"/>
      <w:numFmt w:val="bullet"/>
      <w:lvlText w:val="o"/>
      <w:lvlJc w:val="left"/>
      <w:pPr>
        <w:ind w:left="1647" w:hanging="360"/>
      </w:pPr>
      <w:rPr>
        <w:rFonts w:ascii="Courier New" w:hAnsi="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
    <w:nsid w:val="2BEB1F6A"/>
    <w:multiLevelType w:val="hybridMultilevel"/>
    <w:tmpl w:val="1CD2F6DE"/>
    <w:lvl w:ilvl="0" w:tplc="64DCE27A">
      <w:start w:val="9"/>
      <w:numFmt w:val="bullet"/>
      <w:lvlText w:val="-"/>
      <w:lvlJc w:val="left"/>
      <w:pPr>
        <w:ind w:left="927" w:hanging="360"/>
      </w:pPr>
      <w:rPr>
        <w:rFonts w:ascii="Times New Roman" w:eastAsia="Times New Roman" w:hAnsi="Times New Roman" w:hint="default"/>
      </w:rPr>
    </w:lvl>
    <w:lvl w:ilvl="1" w:tplc="042A0003" w:tentative="1">
      <w:start w:val="1"/>
      <w:numFmt w:val="bullet"/>
      <w:lvlText w:val="o"/>
      <w:lvlJc w:val="left"/>
      <w:pPr>
        <w:ind w:left="1647" w:hanging="360"/>
      </w:pPr>
      <w:rPr>
        <w:rFonts w:ascii="Courier New" w:hAnsi="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
    <w:nsid w:val="3C1078A4"/>
    <w:multiLevelType w:val="hybridMultilevel"/>
    <w:tmpl w:val="6986AAE6"/>
    <w:lvl w:ilvl="0" w:tplc="933CE546">
      <w:start w:val="1"/>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3F5B54F0"/>
    <w:multiLevelType w:val="hybridMultilevel"/>
    <w:tmpl w:val="B89A927A"/>
    <w:lvl w:ilvl="0" w:tplc="54CEE160">
      <w:start w:val="1"/>
      <w:numFmt w:val="decimal"/>
      <w:lvlText w:val="%1."/>
      <w:lvlJc w:val="left"/>
      <w:pPr>
        <w:ind w:left="927" w:hanging="360"/>
      </w:pPr>
      <w:rPr>
        <w:rFonts w:cs="Times New Roman" w:hint="default"/>
      </w:rPr>
    </w:lvl>
    <w:lvl w:ilvl="1" w:tplc="042A0019" w:tentative="1">
      <w:start w:val="1"/>
      <w:numFmt w:val="lowerLetter"/>
      <w:lvlText w:val="%2."/>
      <w:lvlJc w:val="left"/>
      <w:pPr>
        <w:ind w:left="1647" w:hanging="360"/>
      </w:pPr>
      <w:rPr>
        <w:rFonts w:cs="Times New Roman"/>
      </w:rPr>
    </w:lvl>
    <w:lvl w:ilvl="2" w:tplc="042A001B" w:tentative="1">
      <w:start w:val="1"/>
      <w:numFmt w:val="lowerRoman"/>
      <w:lvlText w:val="%3."/>
      <w:lvlJc w:val="right"/>
      <w:pPr>
        <w:ind w:left="2367" w:hanging="180"/>
      </w:pPr>
      <w:rPr>
        <w:rFonts w:cs="Times New Roman"/>
      </w:rPr>
    </w:lvl>
    <w:lvl w:ilvl="3" w:tplc="042A000F" w:tentative="1">
      <w:start w:val="1"/>
      <w:numFmt w:val="decimal"/>
      <w:lvlText w:val="%4."/>
      <w:lvlJc w:val="left"/>
      <w:pPr>
        <w:ind w:left="3087" w:hanging="360"/>
      </w:pPr>
      <w:rPr>
        <w:rFonts w:cs="Times New Roman"/>
      </w:rPr>
    </w:lvl>
    <w:lvl w:ilvl="4" w:tplc="042A0019" w:tentative="1">
      <w:start w:val="1"/>
      <w:numFmt w:val="lowerLetter"/>
      <w:lvlText w:val="%5."/>
      <w:lvlJc w:val="left"/>
      <w:pPr>
        <w:ind w:left="3807" w:hanging="360"/>
      </w:pPr>
      <w:rPr>
        <w:rFonts w:cs="Times New Roman"/>
      </w:rPr>
    </w:lvl>
    <w:lvl w:ilvl="5" w:tplc="042A001B" w:tentative="1">
      <w:start w:val="1"/>
      <w:numFmt w:val="lowerRoman"/>
      <w:lvlText w:val="%6."/>
      <w:lvlJc w:val="right"/>
      <w:pPr>
        <w:ind w:left="4527" w:hanging="180"/>
      </w:pPr>
      <w:rPr>
        <w:rFonts w:cs="Times New Roman"/>
      </w:rPr>
    </w:lvl>
    <w:lvl w:ilvl="6" w:tplc="042A000F" w:tentative="1">
      <w:start w:val="1"/>
      <w:numFmt w:val="decimal"/>
      <w:lvlText w:val="%7."/>
      <w:lvlJc w:val="left"/>
      <w:pPr>
        <w:ind w:left="5247" w:hanging="360"/>
      </w:pPr>
      <w:rPr>
        <w:rFonts w:cs="Times New Roman"/>
      </w:rPr>
    </w:lvl>
    <w:lvl w:ilvl="7" w:tplc="042A0019" w:tentative="1">
      <w:start w:val="1"/>
      <w:numFmt w:val="lowerLetter"/>
      <w:lvlText w:val="%8."/>
      <w:lvlJc w:val="left"/>
      <w:pPr>
        <w:ind w:left="5967" w:hanging="360"/>
      </w:pPr>
      <w:rPr>
        <w:rFonts w:cs="Times New Roman"/>
      </w:rPr>
    </w:lvl>
    <w:lvl w:ilvl="8" w:tplc="042A001B" w:tentative="1">
      <w:start w:val="1"/>
      <w:numFmt w:val="lowerRoman"/>
      <w:lvlText w:val="%9."/>
      <w:lvlJc w:val="right"/>
      <w:pPr>
        <w:ind w:left="6687" w:hanging="180"/>
      </w:pPr>
      <w:rPr>
        <w:rFonts w:cs="Times New Roman"/>
      </w:rPr>
    </w:lvl>
  </w:abstractNum>
  <w:abstractNum w:abstractNumId="4">
    <w:nsid w:val="467076AA"/>
    <w:multiLevelType w:val="hybridMultilevel"/>
    <w:tmpl w:val="D4E62360"/>
    <w:lvl w:ilvl="0" w:tplc="72243A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4CA33E95"/>
    <w:multiLevelType w:val="hybridMultilevel"/>
    <w:tmpl w:val="CCD46DC8"/>
    <w:lvl w:ilvl="0" w:tplc="BE58B74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A7B701D"/>
    <w:multiLevelType w:val="hybridMultilevel"/>
    <w:tmpl w:val="906E5B4A"/>
    <w:lvl w:ilvl="0" w:tplc="D744C4A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659009FC"/>
    <w:multiLevelType w:val="hybridMultilevel"/>
    <w:tmpl w:val="6DB64B64"/>
    <w:lvl w:ilvl="0" w:tplc="87F06566">
      <w:start w:val="1"/>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7DA02470"/>
    <w:multiLevelType w:val="hybridMultilevel"/>
    <w:tmpl w:val="69D0E7D2"/>
    <w:lvl w:ilvl="0" w:tplc="1C4282CC">
      <w:start w:val="1"/>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4"/>
  </w:num>
  <w:num w:numId="6">
    <w:abstractNumId w:val="7"/>
  </w:num>
  <w:num w:numId="7">
    <w:abstractNumId w:val="8"/>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C3A15"/>
    <w:rsid w:val="000008C5"/>
    <w:rsid w:val="000015D2"/>
    <w:rsid w:val="0000278A"/>
    <w:rsid w:val="000029BD"/>
    <w:rsid w:val="00004175"/>
    <w:rsid w:val="000049F1"/>
    <w:rsid w:val="00020DED"/>
    <w:rsid w:val="00022A23"/>
    <w:rsid w:val="000232D5"/>
    <w:rsid w:val="00023FD2"/>
    <w:rsid w:val="0002653C"/>
    <w:rsid w:val="000279E5"/>
    <w:rsid w:val="00027DE4"/>
    <w:rsid w:val="00030866"/>
    <w:rsid w:val="00031DA4"/>
    <w:rsid w:val="00034411"/>
    <w:rsid w:val="0003665A"/>
    <w:rsid w:val="00041B1C"/>
    <w:rsid w:val="00041DC1"/>
    <w:rsid w:val="0004401D"/>
    <w:rsid w:val="00055F36"/>
    <w:rsid w:val="0006503E"/>
    <w:rsid w:val="000658D4"/>
    <w:rsid w:val="000661D9"/>
    <w:rsid w:val="00066DFE"/>
    <w:rsid w:val="00067256"/>
    <w:rsid w:val="00073A86"/>
    <w:rsid w:val="00081079"/>
    <w:rsid w:val="0008242D"/>
    <w:rsid w:val="00082C91"/>
    <w:rsid w:val="00083213"/>
    <w:rsid w:val="00084F19"/>
    <w:rsid w:val="00085C9E"/>
    <w:rsid w:val="00086821"/>
    <w:rsid w:val="00086CC9"/>
    <w:rsid w:val="000873D8"/>
    <w:rsid w:val="0009009C"/>
    <w:rsid w:val="00091618"/>
    <w:rsid w:val="0009469F"/>
    <w:rsid w:val="00095722"/>
    <w:rsid w:val="0009724C"/>
    <w:rsid w:val="000A0C3C"/>
    <w:rsid w:val="000A2E5A"/>
    <w:rsid w:val="000A2EEC"/>
    <w:rsid w:val="000A7F41"/>
    <w:rsid w:val="000B19B0"/>
    <w:rsid w:val="000B397F"/>
    <w:rsid w:val="000B4467"/>
    <w:rsid w:val="000C17F5"/>
    <w:rsid w:val="000C27E5"/>
    <w:rsid w:val="000C35BD"/>
    <w:rsid w:val="000C3774"/>
    <w:rsid w:val="000C37A7"/>
    <w:rsid w:val="000D25CA"/>
    <w:rsid w:val="000D2BD5"/>
    <w:rsid w:val="000D2F2A"/>
    <w:rsid w:val="000D3CB5"/>
    <w:rsid w:val="000D3FA9"/>
    <w:rsid w:val="000D581A"/>
    <w:rsid w:val="000E0B98"/>
    <w:rsid w:val="000E3D01"/>
    <w:rsid w:val="000E40CA"/>
    <w:rsid w:val="000E41D7"/>
    <w:rsid w:val="000E54BD"/>
    <w:rsid w:val="000E670B"/>
    <w:rsid w:val="000F0691"/>
    <w:rsid w:val="000F1467"/>
    <w:rsid w:val="000F263D"/>
    <w:rsid w:val="000F5BFD"/>
    <w:rsid w:val="000F644E"/>
    <w:rsid w:val="000F695A"/>
    <w:rsid w:val="00100583"/>
    <w:rsid w:val="001039D1"/>
    <w:rsid w:val="00103F00"/>
    <w:rsid w:val="00104E4F"/>
    <w:rsid w:val="00111F1A"/>
    <w:rsid w:val="0011269A"/>
    <w:rsid w:val="001147C4"/>
    <w:rsid w:val="0011504B"/>
    <w:rsid w:val="001156F3"/>
    <w:rsid w:val="00116979"/>
    <w:rsid w:val="001228CC"/>
    <w:rsid w:val="00123611"/>
    <w:rsid w:val="00123D03"/>
    <w:rsid w:val="001261E3"/>
    <w:rsid w:val="00127D00"/>
    <w:rsid w:val="00133A26"/>
    <w:rsid w:val="00134CAC"/>
    <w:rsid w:val="00140A31"/>
    <w:rsid w:val="00142446"/>
    <w:rsid w:val="001427BD"/>
    <w:rsid w:val="00143A0F"/>
    <w:rsid w:val="001461FA"/>
    <w:rsid w:val="001474CA"/>
    <w:rsid w:val="001475DE"/>
    <w:rsid w:val="0015557A"/>
    <w:rsid w:val="001627D7"/>
    <w:rsid w:val="001645C8"/>
    <w:rsid w:val="00164784"/>
    <w:rsid w:val="0016774E"/>
    <w:rsid w:val="00170F73"/>
    <w:rsid w:val="00171998"/>
    <w:rsid w:val="00172ABC"/>
    <w:rsid w:val="001747DB"/>
    <w:rsid w:val="00174D5B"/>
    <w:rsid w:val="001752F4"/>
    <w:rsid w:val="00175D7B"/>
    <w:rsid w:val="0017639B"/>
    <w:rsid w:val="0018134A"/>
    <w:rsid w:val="00183D5E"/>
    <w:rsid w:val="0018480B"/>
    <w:rsid w:val="001865AF"/>
    <w:rsid w:val="001866ED"/>
    <w:rsid w:val="00186727"/>
    <w:rsid w:val="0018711C"/>
    <w:rsid w:val="00192225"/>
    <w:rsid w:val="0019231D"/>
    <w:rsid w:val="00193129"/>
    <w:rsid w:val="001945D2"/>
    <w:rsid w:val="001977FF"/>
    <w:rsid w:val="001A3DB2"/>
    <w:rsid w:val="001A3DC8"/>
    <w:rsid w:val="001A452C"/>
    <w:rsid w:val="001A47E6"/>
    <w:rsid w:val="001A5074"/>
    <w:rsid w:val="001A6EAB"/>
    <w:rsid w:val="001B291B"/>
    <w:rsid w:val="001B3CB6"/>
    <w:rsid w:val="001B3DEA"/>
    <w:rsid w:val="001B503A"/>
    <w:rsid w:val="001B5934"/>
    <w:rsid w:val="001B781D"/>
    <w:rsid w:val="001C18A4"/>
    <w:rsid w:val="001C1DB8"/>
    <w:rsid w:val="001C3A15"/>
    <w:rsid w:val="001C43B3"/>
    <w:rsid w:val="001C52E6"/>
    <w:rsid w:val="001C54DB"/>
    <w:rsid w:val="001C6BC8"/>
    <w:rsid w:val="001D0458"/>
    <w:rsid w:val="001D05E0"/>
    <w:rsid w:val="001D1F0A"/>
    <w:rsid w:val="001D77E9"/>
    <w:rsid w:val="001D7EA3"/>
    <w:rsid w:val="001E218B"/>
    <w:rsid w:val="001E25D5"/>
    <w:rsid w:val="001E34C2"/>
    <w:rsid w:val="001E45C2"/>
    <w:rsid w:val="001E54CF"/>
    <w:rsid w:val="001F10E8"/>
    <w:rsid w:val="001F1AD9"/>
    <w:rsid w:val="001F2E26"/>
    <w:rsid w:val="001F2FD0"/>
    <w:rsid w:val="001F341F"/>
    <w:rsid w:val="00200413"/>
    <w:rsid w:val="00200650"/>
    <w:rsid w:val="00210A20"/>
    <w:rsid w:val="00212CEB"/>
    <w:rsid w:val="0021707F"/>
    <w:rsid w:val="00217ED5"/>
    <w:rsid w:val="002209F9"/>
    <w:rsid w:val="002230A1"/>
    <w:rsid w:val="0022617E"/>
    <w:rsid w:val="00230D59"/>
    <w:rsid w:val="0023109B"/>
    <w:rsid w:val="00231497"/>
    <w:rsid w:val="0023425B"/>
    <w:rsid w:val="002374C4"/>
    <w:rsid w:val="0024049B"/>
    <w:rsid w:val="002406B8"/>
    <w:rsid w:val="0024262B"/>
    <w:rsid w:val="00242BB2"/>
    <w:rsid w:val="002439E0"/>
    <w:rsid w:val="00243D47"/>
    <w:rsid w:val="00244280"/>
    <w:rsid w:val="0024746B"/>
    <w:rsid w:val="00250B90"/>
    <w:rsid w:val="00251A91"/>
    <w:rsid w:val="002546E8"/>
    <w:rsid w:val="002624CC"/>
    <w:rsid w:val="002641DB"/>
    <w:rsid w:val="002651FC"/>
    <w:rsid w:val="002669A2"/>
    <w:rsid w:val="00270F6E"/>
    <w:rsid w:val="00271979"/>
    <w:rsid w:val="00281218"/>
    <w:rsid w:val="00284AF1"/>
    <w:rsid w:val="00285777"/>
    <w:rsid w:val="00286936"/>
    <w:rsid w:val="00287C24"/>
    <w:rsid w:val="00290128"/>
    <w:rsid w:val="002940EF"/>
    <w:rsid w:val="00297B17"/>
    <w:rsid w:val="002A0655"/>
    <w:rsid w:val="002A1E17"/>
    <w:rsid w:val="002A1F59"/>
    <w:rsid w:val="002A33BC"/>
    <w:rsid w:val="002A674B"/>
    <w:rsid w:val="002B249F"/>
    <w:rsid w:val="002B29E4"/>
    <w:rsid w:val="002B536D"/>
    <w:rsid w:val="002B69F4"/>
    <w:rsid w:val="002C0407"/>
    <w:rsid w:val="002C548D"/>
    <w:rsid w:val="002C54E6"/>
    <w:rsid w:val="002D0C6D"/>
    <w:rsid w:val="002D0D8F"/>
    <w:rsid w:val="002D570A"/>
    <w:rsid w:val="002D6BBF"/>
    <w:rsid w:val="002D72EF"/>
    <w:rsid w:val="002D766B"/>
    <w:rsid w:val="002E1E3B"/>
    <w:rsid w:val="002E4622"/>
    <w:rsid w:val="002E7509"/>
    <w:rsid w:val="002E7CFB"/>
    <w:rsid w:val="002F23CC"/>
    <w:rsid w:val="002F2646"/>
    <w:rsid w:val="002F5A0E"/>
    <w:rsid w:val="002F65DC"/>
    <w:rsid w:val="002F7121"/>
    <w:rsid w:val="003007F0"/>
    <w:rsid w:val="00302DE8"/>
    <w:rsid w:val="003044BD"/>
    <w:rsid w:val="003067AC"/>
    <w:rsid w:val="00306C7C"/>
    <w:rsid w:val="003105AC"/>
    <w:rsid w:val="00311092"/>
    <w:rsid w:val="00324CBF"/>
    <w:rsid w:val="0032765E"/>
    <w:rsid w:val="00332D31"/>
    <w:rsid w:val="00333099"/>
    <w:rsid w:val="0033406D"/>
    <w:rsid w:val="0033545C"/>
    <w:rsid w:val="00335ED5"/>
    <w:rsid w:val="003376A1"/>
    <w:rsid w:val="003378D6"/>
    <w:rsid w:val="003433B0"/>
    <w:rsid w:val="0034341D"/>
    <w:rsid w:val="0034363D"/>
    <w:rsid w:val="00345251"/>
    <w:rsid w:val="003457D6"/>
    <w:rsid w:val="00346ECC"/>
    <w:rsid w:val="00347452"/>
    <w:rsid w:val="0035339B"/>
    <w:rsid w:val="00355BAA"/>
    <w:rsid w:val="00355EA0"/>
    <w:rsid w:val="00356E24"/>
    <w:rsid w:val="00356E78"/>
    <w:rsid w:val="003576B0"/>
    <w:rsid w:val="003613C1"/>
    <w:rsid w:val="0036158C"/>
    <w:rsid w:val="00362F7F"/>
    <w:rsid w:val="00364886"/>
    <w:rsid w:val="00365930"/>
    <w:rsid w:val="00367D4A"/>
    <w:rsid w:val="00370C3A"/>
    <w:rsid w:val="00371457"/>
    <w:rsid w:val="0037155C"/>
    <w:rsid w:val="00377479"/>
    <w:rsid w:val="003804DA"/>
    <w:rsid w:val="00385979"/>
    <w:rsid w:val="0038672A"/>
    <w:rsid w:val="00387575"/>
    <w:rsid w:val="0039024F"/>
    <w:rsid w:val="00391B28"/>
    <w:rsid w:val="00392082"/>
    <w:rsid w:val="00393BFD"/>
    <w:rsid w:val="00396872"/>
    <w:rsid w:val="00397050"/>
    <w:rsid w:val="003A030C"/>
    <w:rsid w:val="003A1AEF"/>
    <w:rsid w:val="003A1ED0"/>
    <w:rsid w:val="003B15D6"/>
    <w:rsid w:val="003B209D"/>
    <w:rsid w:val="003C153D"/>
    <w:rsid w:val="003C5CD2"/>
    <w:rsid w:val="003C6360"/>
    <w:rsid w:val="003C7959"/>
    <w:rsid w:val="003D1665"/>
    <w:rsid w:val="003D1C07"/>
    <w:rsid w:val="003D3E26"/>
    <w:rsid w:val="003D65FB"/>
    <w:rsid w:val="003D7033"/>
    <w:rsid w:val="003D755F"/>
    <w:rsid w:val="003E1876"/>
    <w:rsid w:val="003E2B41"/>
    <w:rsid w:val="003E2C39"/>
    <w:rsid w:val="003E7B23"/>
    <w:rsid w:val="003F10DA"/>
    <w:rsid w:val="003F1A5D"/>
    <w:rsid w:val="003F20AB"/>
    <w:rsid w:val="003F51D3"/>
    <w:rsid w:val="003F669A"/>
    <w:rsid w:val="003F7814"/>
    <w:rsid w:val="00400DCD"/>
    <w:rsid w:val="00401EE0"/>
    <w:rsid w:val="00402A66"/>
    <w:rsid w:val="00403305"/>
    <w:rsid w:val="00411C48"/>
    <w:rsid w:val="00412FC1"/>
    <w:rsid w:val="0041507F"/>
    <w:rsid w:val="00415F5D"/>
    <w:rsid w:val="004162A7"/>
    <w:rsid w:val="004167F1"/>
    <w:rsid w:val="004170DE"/>
    <w:rsid w:val="00420776"/>
    <w:rsid w:val="0042133A"/>
    <w:rsid w:val="004275CB"/>
    <w:rsid w:val="004324A5"/>
    <w:rsid w:val="004324E4"/>
    <w:rsid w:val="00433979"/>
    <w:rsid w:val="00436319"/>
    <w:rsid w:val="004372C6"/>
    <w:rsid w:val="004413C5"/>
    <w:rsid w:val="00445FF8"/>
    <w:rsid w:val="00446464"/>
    <w:rsid w:val="0045547F"/>
    <w:rsid w:val="00462AFF"/>
    <w:rsid w:val="00463026"/>
    <w:rsid w:val="0046310F"/>
    <w:rsid w:val="00463236"/>
    <w:rsid w:val="004632AA"/>
    <w:rsid w:val="00467E4C"/>
    <w:rsid w:val="00470905"/>
    <w:rsid w:val="00472955"/>
    <w:rsid w:val="00472C26"/>
    <w:rsid w:val="004736F1"/>
    <w:rsid w:val="00477E83"/>
    <w:rsid w:val="004859B7"/>
    <w:rsid w:val="00490199"/>
    <w:rsid w:val="00491896"/>
    <w:rsid w:val="00492E11"/>
    <w:rsid w:val="00493883"/>
    <w:rsid w:val="00495918"/>
    <w:rsid w:val="00497FC9"/>
    <w:rsid w:val="004A0D22"/>
    <w:rsid w:val="004A44B5"/>
    <w:rsid w:val="004A5ABA"/>
    <w:rsid w:val="004A769C"/>
    <w:rsid w:val="004B114E"/>
    <w:rsid w:val="004B2106"/>
    <w:rsid w:val="004B2F3E"/>
    <w:rsid w:val="004B3350"/>
    <w:rsid w:val="004B6D2A"/>
    <w:rsid w:val="004C114D"/>
    <w:rsid w:val="004C29D1"/>
    <w:rsid w:val="004C5244"/>
    <w:rsid w:val="004D080D"/>
    <w:rsid w:val="004D2B90"/>
    <w:rsid w:val="004D3BE5"/>
    <w:rsid w:val="004D5C0E"/>
    <w:rsid w:val="004D6FA7"/>
    <w:rsid w:val="004E2FA9"/>
    <w:rsid w:val="004E4B4F"/>
    <w:rsid w:val="004E5F86"/>
    <w:rsid w:val="004E615D"/>
    <w:rsid w:val="004E7D78"/>
    <w:rsid w:val="004F2ED9"/>
    <w:rsid w:val="004F3E41"/>
    <w:rsid w:val="004F43D8"/>
    <w:rsid w:val="004F64BF"/>
    <w:rsid w:val="004F6761"/>
    <w:rsid w:val="0050074C"/>
    <w:rsid w:val="00500FCC"/>
    <w:rsid w:val="00501E4D"/>
    <w:rsid w:val="005072C6"/>
    <w:rsid w:val="00507D9B"/>
    <w:rsid w:val="00510382"/>
    <w:rsid w:val="005104BB"/>
    <w:rsid w:val="005107CE"/>
    <w:rsid w:val="0051655D"/>
    <w:rsid w:val="005169C2"/>
    <w:rsid w:val="00517A2F"/>
    <w:rsid w:val="005219CF"/>
    <w:rsid w:val="00522742"/>
    <w:rsid w:val="005228BB"/>
    <w:rsid w:val="00523556"/>
    <w:rsid w:val="00532474"/>
    <w:rsid w:val="005342BC"/>
    <w:rsid w:val="0053606A"/>
    <w:rsid w:val="00537F5E"/>
    <w:rsid w:val="00544E2E"/>
    <w:rsid w:val="00544EF2"/>
    <w:rsid w:val="005462B8"/>
    <w:rsid w:val="00552A4C"/>
    <w:rsid w:val="005554CC"/>
    <w:rsid w:val="005555A6"/>
    <w:rsid w:val="00560227"/>
    <w:rsid w:val="00561952"/>
    <w:rsid w:val="00561DF7"/>
    <w:rsid w:val="00564FF6"/>
    <w:rsid w:val="00567703"/>
    <w:rsid w:val="00571795"/>
    <w:rsid w:val="00574383"/>
    <w:rsid w:val="0058200D"/>
    <w:rsid w:val="0058424B"/>
    <w:rsid w:val="0058462D"/>
    <w:rsid w:val="0058595F"/>
    <w:rsid w:val="00587079"/>
    <w:rsid w:val="005920CC"/>
    <w:rsid w:val="00595D92"/>
    <w:rsid w:val="005A0525"/>
    <w:rsid w:val="005A2102"/>
    <w:rsid w:val="005A350C"/>
    <w:rsid w:val="005A39FB"/>
    <w:rsid w:val="005A46AB"/>
    <w:rsid w:val="005A79EA"/>
    <w:rsid w:val="005B65A0"/>
    <w:rsid w:val="005B7D34"/>
    <w:rsid w:val="005C0081"/>
    <w:rsid w:val="005C2F71"/>
    <w:rsid w:val="005C367A"/>
    <w:rsid w:val="005C378E"/>
    <w:rsid w:val="005C3A49"/>
    <w:rsid w:val="005C4761"/>
    <w:rsid w:val="005C4E4E"/>
    <w:rsid w:val="005C5062"/>
    <w:rsid w:val="005C6196"/>
    <w:rsid w:val="005E0A9E"/>
    <w:rsid w:val="005E0CFA"/>
    <w:rsid w:val="005E2E47"/>
    <w:rsid w:val="005E36FC"/>
    <w:rsid w:val="005E7862"/>
    <w:rsid w:val="005F056E"/>
    <w:rsid w:val="005F2106"/>
    <w:rsid w:val="005F4404"/>
    <w:rsid w:val="005F57A3"/>
    <w:rsid w:val="006003CA"/>
    <w:rsid w:val="0060168B"/>
    <w:rsid w:val="006056F1"/>
    <w:rsid w:val="0061150A"/>
    <w:rsid w:val="00614A4C"/>
    <w:rsid w:val="006202FB"/>
    <w:rsid w:val="00620826"/>
    <w:rsid w:val="00621EAF"/>
    <w:rsid w:val="00622DBC"/>
    <w:rsid w:val="0062632D"/>
    <w:rsid w:val="00626BB6"/>
    <w:rsid w:val="00630B3A"/>
    <w:rsid w:val="0063214F"/>
    <w:rsid w:val="00633F1D"/>
    <w:rsid w:val="0063433A"/>
    <w:rsid w:val="006366FB"/>
    <w:rsid w:val="00640CF1"/>
    <w:rsid w:val="00643093"/>
    <w:rsid w:val="006431F7"/>
    <w:rsid w:val="006434CC"/>
    <w:rsid w:val="006445E5"/>
    <w:rsid w:val="006449F4"/>
    <w:rsid w:val="00644B45"/>
    <w:rsid w:val="00645B43"/>
    <w:rsid w:val="00656ECA"/>
    <w:rsid w:val="006577E2"/>
    <w:rsid w:val="00657D20"/>
    <w:rsid w:val="00660756"/>
    <w:rsid w:val="00661259"/>
    <w:rsid w:val="006646B5"/>
    <w:rsid w:val="00673B49"/>
    <w:rsid w:val="0067497F"/>
    <w:rsid w:val="00675EA3"/>
    <w:rsid w:val="006766D5"/>
    <w:rsid w:val="0067795E"/>
    <w:rsid w:val="00682066"/>
    <w:rsid w:val="00682EF0"/>
    <w:rsid w:val="00684DC3"/>
    <w:rsid w:val="00685430"/>
    <w:rsid w:val="0068590C"/>
    <w:rsid w:val="006861AB"/>
    <w:rsid w:val="006869CE"/>
    <w:rsid w:val="00687FBA"/>
    <w:rsid w:val="00692580"/>
    <w:rsid w:val="00693561"/>
    <w:rsid w:val="00693913"/>
    <w:rsid w:val="00696288"/>
    <w:rsid w:val="006A0677"/>
    <w:rsid w:val="006A2076"/>
    <w:rsid w:val="006A414E"/>
    <w:rsid w:val="006B1335"/>
    <w:rsid w:val="006B2E3D"/>
    <w:rsid w:val="006B4089"/>
    <w:rsid w:val="006B58FB"/>
    <w:rsid w:val="006B6259"/>
    <w:rsid w:val="006B73E7"/>
    <w:rsid w:val="006C0448"/>
    <w:rsid w:val="006C16B1"/>
    <w:rsid w:val="006C29B7"/>
    <w:rsid w:val="006C3A92"/>
    <w:rsid w:val="006C56BC"/>
    <w:rsid w:val="006C73D3"/>
    <w:rsid w:val="006D3E0C"/>
    <w:rsid w:val="006D4603"/>
    <w:rsid w:val="006D48B0"/>
    <w:rsid w:val="006D5220"/>
    <w:rsid w:val="006D5390"/>
    <w:rsid w:val="006E4DFA"/>
    <w:rsid w:val="006E50EC"/>
    <w:rsid w:val="006E5364"/>
    <w:rsid w:val="006E5A62"/>
    <w:rsid w:val="006F1484"/>
    <w:rsid w:val="006F19F2"/>
    <w:rsid w:val="006F4BE7"/>
    <w:rsid w:val="006F66EE"/>
    <w:rsid w:val="006F7649"/>
    <w:rsid w:val="00702644"/>
    <w:rsid w:val="00703123"/>
    <w:rsid w:val="00712EE6"/>
    <w:rsid w:val="0071690C"/>
    <w:rsid w:val="00720744"/>
    <w:rsid w:val="0072195A"/>
    <w:rsid w:val="007232F2"/>
    <w:rsid w:val="007241EE"/>
    <w:rsid w:val="00732388"/>
    <w:rsid w:val="00732A63"/>
    <w:rsid w:val="0073326E"/>
    <w:rsid w:val="0073333B"/>
    <w:rsid w:val="00733346"/>
    <w:rsid w:val="007371DE"/>
    <w:rsid w:val="007400CC"/>
    <w:rsid w:val="00740DCF"/>
    <w:rsid w:val="00742A68"/>
    <w:rsid w:val="00744688"/>
    <w:rsid w:val="00750916"/>
    <w:rsid w:val="007512E6"/>
    <w:rsid w:val="00752B53"/>
    <w:rsid w:val="00753B21"/>
    <w:rsid w:val="00753B2A"/>
    <w:rsid w:val="00753FC0"/>
    <w:rsid w:val="00755AE1"/>
    <w:rsid w:val="007605AB"/>
    <w:rsid w:val="00761BA8"/>
    <w:rsid w:val="00761E74"/>
    <w:rsid w:val="00762A6F"/>
    <w:rsid w:val="00763953"/>
    <w:rsid w:val="007639EE"/>
    <w:rsid w:val="00765A6C"/>
    <w:rsid w:val="00766D2D"/>
    <w:rsid w:val="007673BD"/>
    <w:rsid w:val="0077525F"/>
    <w:rsid w:val="0077699B"/>
    <w:rsid w:val="0077721E"/>
    <w:rsid w:val="00777D0B"/>
    <w:rsid w:val="00786770"/>
    <w:rsid w:val="00786A18"/>
    <w:rsid w:val="007878BB"/>
    <w:rsid w:val="00792295"/>
    <w:rsid w:val="00792E1A"/>
    <w:rsid w:val="007938C3"/>
    <w:rsid w:val="007962B3"/>
    <w:rsid w:val="007A2138"/>
    <w:rsid w:val="007A3882"/>
    <w:rsid w:val="007A4384"/>
    <w:rsid w:val="007A7ECC"/>
    <w:rsid w:val="007B14DB"/>
    <w:rsid w:val="007B423C"/>
    <w:rsid w:val="007C2D7B"/>
    <w:rsid w:val="007C7FFC"/>
    <w:rsid w:val="007D6E1E"/>
    <w:rsid w:val="007E5CA7"/>
    <w:rsid w:val="007E77E2"/>
    <w:rsid w:val="007F097B"/>
    <w:rsid w:val="007F2F21"/>
    <w:rsid w:val="00800DC2"/>
    <w:rsid w:val="00803851"/>
    <w:rsid w:val="008038EB"/>
    <w:rsid w:val="008053DE"/>
    <w:rsid w:val="00805ABA"/>
    <w:rsid w:val="008066E2"/>
    <w:rsid w:val="00807DA2"/>
    <w:rsid w:val="00812543"/>
    <w:rsid w:val="00812706"/>
    <w:rsid w:val="00821336"/>
    <w:rsid w:val="00823752"/>
    <w:rsid w:val="0082471A"/>
    <w:rsid w:val="0082491E"/>
    <w:rsid w:val="0082654F"/>
    <w:rsid w:val="00827647"/>
    <w:rsid w:val="008305F3"/>
    <w:rsid w:val="008307E3"/>
    <w:rsid w:val="00831461"/>
    <w:rsid w:val="00833D4D"/>
    <w:rsid w:val="00835CDF"/>
    <w:rsid w:val="00835EB1"/>
    <w:rsid w:val="00836D4E"/>
    <w:rsid w:val="00837753"/>
    <w:rsid w:val="00837C08"/>
    <w:rsid w:val="008403B5"/>
    <w:rsid w:val="008440C1"/>
    <w:rsid w:val="00845826"/>
    <w:rsid w:val="008462F8"/>
    <w:rsid w:val="0085118C"/>
    <w:rsid w:val="00854BD8"/>
    <w:rsid w:val="00857E65"/>
    <w:rsid w:val="008608E5"/>
    <w:rsid w:val="0086190E"/>
    <w:rsid w:val="00862DAB"/>
    <w:rsid w:val="00863E82"/>
    <w:rsid w:val="0086436D"/>
    <w:rsid w:val="008718D2"/>
    <w:rsid w:val="0087295B"/>
    <w:rsid w:val="0087697F"/>
    <w:rsid w:val="00877348"/>
    <w:rsid w:val="00877B62"/>
    <w:rsid w:val="008803DA"/>
    <w:rsid w:val="008846A0"/>
    <w:rsid w:val="008850C3"/>
    <w:rsid w:val="008858D3"/>
    <w:rsid w:val="008878C4"/>
    <w:rsid w:val="00895551"/>
    <w:rsid w:val="00897789"/>
    <w:rsid w:val="008A2C97"/>
    <w:rsid w:val="008A3601"/>
    <w:rsid w:val="008A48BC"/>
    <w:rsid w:val="008A4CA7"/>
    <w:rsid w:val="008A4CC8"/>
    <w:rsid w:val="008A52BD"/>
    <w:rsid w:val="008A7EF9"/>
    <w:rsid w:val="008B0F6F"/>
    <w:rsid w:val="008B52FF"/>
    <w:rsid w:val="008B5436"/>
    <w:rsid w:val="008B6B5B"/>
    <w:rsid w:val="008B6C94"/>
    <w:rsid w:val="008B7A2A"/>
    <w:rsid w:val="008C0266"/>
    <w:rsid w:val="008C03B4"/>
    <w:rsid w:val="008C060B"/>
    <w:rsid w:val="008C4BF3"/>
    <w:rsid w:val="008C5AD4"/>
    <w:rsid w:val="008C6629"/>
    <w:rsid w:val="008D1329"/>
    <w:rsid w:val="008D13C9"/>
    <w:rsid w:val="008D5CC7"/>
    <w:rsid w:val="008D67CE"/>
    <w:rsid w:val="008E6950"/>
    <w:rsid w:val="008F2665"/>
    <w:rsid w:val="008F314F"/>
    <w:rsid w:val="008F50D1"/>
    <w:rsid w:val="00902B6A"/>
    <w:rsid w:val="0090548C"/>
    <w:rsid w:val="00906D36"/>
    <w:rsid w:val="00915FE9"/>
    <w:rsid w:val="00922A28"/>
    <w:rsid w:val="00922A40"/>
    <w:rsid w:val="009234E2"/>
    <w:rsid w:val="00925C4A"/>
    <w:rsid w:val="00926BB2"/>
    <w:rsid w:val="00931C58"/>
    <w:rsid w:val="00932859"/>
    <w:rsid w:val="009403A5"/>
    <w:rsid w:val="00942C7E"/>
    <w:rsid w:val="00942ED2"/>
    <w:rsid w:val="00944033"/>
    <w:rsid w:val="00945111"/>
    <w:rsid w:val="00946516"/>
    <w:rsid w:val="00947A72"/>
    <w:rsid w:val="00952827"/>
    <w:rsid w:val="00953218"/>
    <w:rsid w:val="009549B2"/>
    <w:rsid w:val="00955E64"/>
    <w:rsid w:val="009569E7"/>
    <w:rsid w:val="00957054"/>
    <w:rsid w:val="00960178"/>
    <w:rsid w:val="0096018D"/>
    <w:rsid w:val="0096378D"/>
    <w:rsid w:val="00964921"/>
    <w:rsid w:val="009649A1"/>
    <w:rsid w:val="009717D4"/>
    <w:rsid w:val="00972734"/>
    <w:rsid w:val="00975776"/>
    <w:rsid w:val="009766E6"/>
    <w:rsid w:val="009827E4"/>
    <w:rsid w:val="00983504"/>
    <w:rsid w:val="009844D6"/>
    <w:rsid w:val="00984F62"/>
    <w:rsid w:val="00990765"/>
    <w:rsid w:val="00993B90"/>
    <w:rsid w:val="009949BE"/>
    <w:rsid w:val="00994CC2"/>
    <w:rsid w:val="009957DA"/>
    <w:rsid w:val="00997C26"/>
    <w:rsid w:val="009A291F"/>
    <w:rsid w:val="009A2D65"/>
    <w:rsid w:val="009B6CE7"/>
    <w:rsid w:val="009B7F8A"/>
    <w:rsid w:val="009C2AEC"/>
    <w:rsid w:val="009C3356"/>
    <w:rsid w:val="009C46B3"/>
    <w:rsid w:val="009C55A7"/>
    <w:rsid w:val="009D12E2"/>
    <w:rsid w:val="009D1403"/>
    <w:rsid w:val="009D1A87"/>
    <w:rsid w:val="009D3601"/>
    <w:rsid w:val="009D3FB8"/>
    <w:rsid w:val="009D7970"/>
    <w:rsid w:val="009E00B2"/>
    <w:rsid w:val="009E495D"/>
    <w:rsid w:val="009E4CD4"/>
    <w:rsid w:val="009E54D8"/>
    <w:rsid w:val="009E7F0F"/>
    <w:rsid w:val="009F3A7C"/>
    <w:rsid w:val="009F3C7B"/>
    <w:rsid w:val="009F71A9"/>
    <w:rsid w:val="00A049DD"/>
    <w:rsid w:val="00A0736A"/>
    <w:rsid w:val="00A17284"/>
    <w:rsid w:val="00A20F8B"/>
    <w:rsid w:val="00A25B34"/>
    <w:rsid w:val="00A31BBE"/>
    <w:rsid w:val="00A32B60"/>
    <w:rsid w:val="00A40D32"/>
    <w:rsid w:val="00A46769"/>
    <w:rsid w:val="00A47D6F"/>
    <w:rsid w:val="00A47E5F"/>
    <w:rsid w:val="00A510D2"/>
    <w:rsid w:val="00A540E7"/>
    <w:rsid w:val="00A55F02"/>
    <w:rsid w:val="00A60369"/>
    <w:rsid w:val="00A63625"/>
    <w:rsid w:val="00A63FBA"/>
    <w:rsid w:val="00A642D9"/>
    <w:rsid w:val="00A65562"/>
    <w:rsid w:val="00A65FA8"/>
    <w:rsid w:val="00A663B5"/>
    <w:rsid w:val="00A6689F"/>
    <w:rsid w:val="00A744DA"/>
    <w:rsid w:val="00A74DEB"/>
    <w:rsid w:val="00A8190A"/>
    <w:rsid w:val="00A83990"/>
    <w:rsid w:val="00A83DE4"/>
    <w:rsid w:val="00A84122"/>
    <w:rsid w:val="00A841DD"/>
    <w:rsid w:val="00A84AF6"/>
    <w:rsid w:val="00A86009"/>
    <w:rsid w:val="00A90400"/>
    <w:rsid w:val="00A90EB2"/>
    <w:rsid w:val="00A9547E"/>
    <w:rsid w:val="00AA085D"/>
    <w:rsid w:val="00AA12BF"/>
    <w:rsid w:val="00AA12DD"/>
    <w:rsid w:val="00AA444A"/>
    <w:rsid w:val="00AB081F"/>
    <w:rsid w:val="00AB6123"/>
    <w:rsid w:val="00AB6692"/>
    <w:rsid w:val="00AC0188"/>
    <w:rsid w:val="00AC1B0E"/>
    <w:rsid w:val="00AC6B74"/>
    <w:rsid w:val="00AD066D"/>
    <w:rsid w:val="00AD347D"/>
    <w:rsid w:val="00AD3DD0"/>
    <w:rsid w:val="00AD4505"/>
    <w:rsid w:val="00AD4FD2"/>
    <w:rsid w:val="00AE1AE6"/>
    <w:rsid w:val="00AE2309"/>
    <w:rsid w:val="00AE408E"/>
    <w:rsid w:val="00AE5415"/>
    <w:rsid w:val="00AF16C5"/>
    <w:rsid w:val="00AF487F"/>
    <w:rsid w:val="00AF7085"/>
    <w:rsid w:val="00B018A2"/>
    <w:rsid w:val="00B02217"/>
    <w:rsid w:val="00B0321E"/>
    <w:rsid w:val="00B067B3"/>
    <w:rsid w:val="00B23393"/>
    <w:rsid w:val="00B26D46"/>
    <w:rsid w:val="00B273FF"/>
    <w:rsid w:val="00B27C47"/>
    <w:rsid w:val="00B32DE1"/>
    <w:rsid w:val="00B35322"/>
    <w:rsid w:val="00B36E02"/>
    <w:rsid w:val="00B428AA"/>
    <w:rsid w:val="00B4375B"/>
    <w:rsid w:val="00B4438F"/>
    <w:rsid w:val="00B44F67"/>
    <w:rsid w:val="00B4745D"/>
    <w:rsid w:val="00B50952"/>
    <w:rsid w:val="00B50DD1"/>
    <w:rsid w:val="00B50FE4"/>
    <w:rsid w:val="00B52988"/>
    <w:rsid w:val="00B52C85"/>
    <w:rsid w:val="00B542AE"/>
    <w:rsid w:val="00B5628F"/>
    <w:rsid w:val="00B62DA8"/>
    <w:rsid w:val="00B64AA8"/>
    <w:rsid w:val="00B66575"/>
    <w:rsid w:val="00B67696"/>
    <w:rsid w:val="00B67C6E"/>
    <w:rsid w:val="00B67FF7"/>
    <w:rsid w:val="00B71ADE"/>
    <w:rsid w:val="00B75C83"/>
    <w:rsid w:val="00B763B4"/>
    <w:rsid w:val="00B76B33"/>
    <w:rsid w:val="00B7721B"/>
    <w:rsid w:val="00B80B87"/>
    <w:rsid w:val="00B81376"/>
    <w:rsid w:val="00B8553C"/>
    <w:rsid w:val="00B8562C"/>
    <w:rsid w:val="00B858F6"/>
    <w:rsid w:val="00B85D44"/>
    <w:rsid w:val="00B875E2"/>
    <w:rsid w:val="00B918CC"/>
    <w:rsid w:val="00B93095"/>
    <w:rsid w:val="00B95A69"/>
    <w:rsid w:val="00BA4D3D"/>
    <w:rsid w:val="00BA5144"/>
    <w:rsid w:val="00BA65AC"/>
    <w:rsid w:val="00BB1070"/>
    <w:rsid w:val="00BB280F"/>
    <w:rsid w:val="00BB38E6"/>
    <w:rsid w:val="00BB429E"/>
    <w:rsid w:val="00BB7952"/>
    <w:rsid w:val="00BB7C76"/>
    <w:rsid w:val="00BC2CE3"/>
    <w:rsid w:val="00BC6F66"/>
    <w:rsid w:val="00BD1064"/>
    <w:rsid w:val="00BD5119"/>
    <w:rsid w:val="00BD60C8"/>
    <w:rsid w:val="00BD6EBE"/>
    <w:rsid w:val="00BD75B6"/>
    <w:rsid w:val="00BE4F46"/>
    <w:rsid w:val="00BE62C1"/>
    <w:rsid w:val="00BF5145"/>
    <w:rsid w:val="00BF73BD"/>
    <w:rsid w:val="00BF772D"/>
    <w:rsid w:val="00BF7A7F"/>
    <w:rsid w:val="00C01940"/>
    <w:rsid w:val="00C02081"/>
    <w:rsid w:val="00C05C36"/>
    <w:rsid w:val="00C066D9"/>
    <w:rsid w:val="00C10596"/>
    <w:rsid w:val="00C10C55"/>
    <w:rsid w:val="00C15BB9"/>
    <w:rsid w:val="00C25DA9"/>
    <w:rsid w:val="00C267C5"/>
    <w:rsid w:val="00C27C26"/>
    <w:rsid w:val="00C3002E"/>
    <w:rsid w:val="00C310A2"/>
    <w:rsid w:val="00C33C4B"/>
    <w:rsid w:val="00C34348"/>
    <w:rsid w:val="00C36411"/>
    <w:rsid w:val="00C40908"/>
    <w:rsid w:val="00C52BF9"/>
    <w:rsid w:val="00C541CB"/>
    <w:rsid w:val="00C54C71"/>
    <w:rsid w:val="00C553CD"/>
    <w:rsid w:val="00C55896"/>
    <w:rsid w:val="00C64381"/>
    <w:rsid w:val="00C643B2"/>
    <w:rsid w:val="00C64715"/>
    <w:rsid w:val="00C74D41"/>
    <w:rsid w:val="00C757E0"/>
    <w:rsid w:val="00C757FF"/>
    <w:rsid w:val="00C75FC0"/>
    <w:rsid w:val="00C76521"/>
    <w:rsid w:val="00C809B4"/>
    <w:rsid w:val="00C81694"/>
    <w:rsid w:val="00C8194A"/>
    <w:rsid w:val="00C85EB1"/>
    <w:rsid w:val="00C872E5"/>
    <w:rsid w:val="00C87ADC"/>
    <w:rsid w:val="00C91A95"/>
    <w:rsid w:val="00C93EE6"/>
    <w:rsid w:val="00C94522"/>
    <w:rsid w:val="00C96424"/>
    <w:rsid w:val="00C967E6"/>
    <w:rsid w:val="00C96DAF"/>
    <w:rsid w:val="00C9715C"/>
    <w:rsid w:val="00CA1C76"/>
    <w:rsid w:val="00CA22D2"/>
    <w:rsid w:val="00CA2BB8"/>
    <w:rsid w:val="00CA30CD"/>
    <w:rsid w:val="00CA3137"/>
    <w:rsid w:val="00CA5718"/>
    <w:rsid w:val="00CA656E"/>
    <w:rsid w:val="00CA6C14"/>
    <w:rsid w:val="00CA7393"/>
    <w:rsid w:val="00CB0126"/>
    <w:rsid w:val="00CB4CAD"/>
    <w:rsid w:val="00CB775E"/>
    <w:rsid w:val="00CC3045"/>
    <w:rsid w:val="00CC5855"/>
    <w:rsid w:val="00CD17C8"/>
    <w:rsid w:val="00CD40DC"/>
    <w:rsid w:val="00CD4E9E"/>
    <w:rsid w:val="00CD648C"/>
    <w:rsid w:val="00CD7D52"/>
    <w:rsid w:val="00CE03F7"/>
    <w:rsid w:val="00CE4365"/>
    <w:rsid w:val="00CF3163"/>
    <w:rsid w:val="00CF3250"/>
    <w:rsid w:val="00CF428C"/>
    <w:rsid w:val="00CF5663"/>
    <w:rsid w:val="00CF68BA"/>
    <w:rsid w:val="00CF7829"/>
    <w:rsid w:val="00D00E37"/>
    <w:rsid w:val="00D00FAF"/>
    <w:rsid w:val="00D01EA0"/>
    <w:rsid w:val="00D03444"/>
    <w:rsid w:val="00D057ED"/>
    <w:rsid w:val="00D07EC5"/>
    <w:rsid w:val="00D10791"/>
    <w:rsid w:val="00D11AC8"/>
    <w:rsid w:val="00D20370"/>
    <w:rsid w:val="00D2463D"/>
    <w:rsid w:val="00D246C2"/>
    <w:rsid w:val="00D252B4"/>
    <w:rsid w:val="00D27646"/>
    <w:rsid w:val="00D30B8D"/>
    <w:rsid w:val="00D316E4"/>
    <w:rsid w:val="00D32C51"/>
    <w:rsid w:val="00D32C81"/>
    <w:rsid w:val="00D32DB3"/>
    <w:rsid w:val="00D36D87"/>
    <w:rsid w:val="00D36F46"/>
    <w:rsid w:val="00D376F0"/>
    <w:rsid w:val="00D37B77"/>
    <w:rsid w:val="00D439AF"/>
    <w:rsid w:val="00D45DEC"/>
    <w:rsid w:val="00D476DC"/>
    <w:rsid w:val="00D523C4"/>
    <w:rsid w:val="00D54C2F"/>
    <w:rsid w:val="00D56418"/>
    <w:rsid w:val="00D60140"/>
    <w:rsid w:val="00D6211B"/>
    <w:rsid w:val="00D67F38"/>
    <w:rsid w:val="00D7092C"/>
    <w:rsid w:val="00D71C92"/>
    <w:rsid w:val="00D72D43"/>
    <w:rsid w:val="00D76EF3"/>
    <w:rsid w:val="00D81263"/>
    <w:rsid w:val="00D831AE"/>
    <w:rsid w:val="00D866B7"/>
    <w:rsid w:val="00D909C1"/>
    <w:rsid w:val="00D9423A"/>
    <w:rsid w:val="00D94364"/>
    <w:rsid w:val="00D94C50"/>
    <w:rsid w:val="00D95EA6"/>
    <w:rsid w:val="00D960AC"/>
    <w:rsid w:val="00DA12F9"/>
    <w:rsid w:val="00DA4925"/>
    <w:rsid w:val="00DA632E"/>
    <w:rsid w:val="00DA72E7"/>
    <w:rsid w:val="00DB0398"/>
    <w:rsid w:val="00DB40DB"/>
    <w:rsid w:val="00DB6988"/>
    <w:rsid w:val="00DB69E8"/>
    <w:rsid w:val="00DB744F"/>
    <w:rsid w:val="00DC707E"/>
    <w:rsid w:val="00DD05AE"/>
    <w:rsid w:val="00DD236C"/>
    <w:rsid w:val="00DD2649"/>
    <w:rsid w:val="00DD28FC"/>
    <w:rsid w:val="00DD3F78"/>
    <w:rsid w:val="00DD4277"/>
    <w:rsid w:val="00DD5814"/>
    <w:rsid w:val="00DD600E"/>
    <w:rsid w:val="00DD62A3"/>
    <w:rsid w:val="00DD6BED"/>
    <w:rsid w:val="00DE1F25"/>
    <w:rsid w:val="00DE2124"/>
    <w:rsid w:val="00DE561D"/>
    <w:rsid w:val="00DF2389"/>
    <w:rsid w:val="00DF2895"/>
    <w:rsid w:val="00DF2A19"/>
    <w:rsid w:val="00E04532"/>
    <w:rsid w:val="00E06859"/>
    <w:rsid w:val="00E07266"/>
    <w:rsid w:val="00E074BD"/>
    <w:rsid w:val="00E1143B"/>
    <w:rsid w:val="00E11704"/>
    <w:rsid w:val="00E11C3E"/>
    <w:rsid w:val="00E12CE8"/>
    <w:rsid w:val="00E13E68"/>
    <w:rsid w:val="00E156A6"/>
    <w:rsid w:val="00E172BA"/>
    <w:rsid w:val="00E2077C"/>
    <w:rsid w:val="00E2098D"/>
    <w:rsid w:val="00E20EFE"/>
    <w:rsid w:val="00E25793"/>
    <w:rsid w:val="00E26595"/>
    <w:rsid w:val="00E317FC"/>
    <w:rsid w:val="00E32D49"/>
    <w:rsid w:val="00E3349F"/>
    <w:rsid w:val="00E4719B"/>
    <w:rsid w:val="00E50C8F"/>
    <w:rsid w:val="00E51F36"/>
    <w:rsid w:val="00E53860"/>
    <w:rsid w:val="00E557BA"/>
    <w:rsid w:val="00E559EB"/>
    <w:rsid w:val="00E559EF"/>
    <w:rsid w:val="00E57146"/>
    <w:rsid w:val="00E57EFB"/>
    <w:rsid w:val="00E60490"/>
    <w:rsid w:val="00E62E7B"/>
    <w:rsid w:val="00E64448"/>
    <w:rsid w:val="00E67FE0"/>
    <w:rsid w:val="00E72A5E"/>
    <w:rsid w:val="00E846A4"/>
    <w:rsid w:val="00E86D23"/>
    <w:rsid w:val="00E93127"/>
    <w:rsid w:val="00E95B96"/>
    <w:rsid w:val="00EA1BFF"/>
    <w:rsid w:val="00EA3EB2"/>
    <w:rsid w:val="00EB0A42"/>
    <w:rsid w:val="00EB43BD"/>
    <w:rsid w:val="00EB7657"/>
    <w:rsid w:val="00EC0B62"/>
    <w:rsid w:val="00EC5175"/>
    <w:rsid w:val="00EC5397"/>
    <w:rsid w:val="00EC5613"/>
    <w:rsid w:val="00EC5B25"/>
    <w:rsid w:val="00ED10C6"/>
    <w:rsid w:val="00ED45DB"/>
    <w:rsid w:val="00ED49C8"/>
    <w:rsid w:val="00ED5142"/>
    <w:rsid w:val="00ED5434"/>
    <w:rsid w:val="00ED54FB"/>
    <w:rsid w:val="00ED7FF6"/>
    <w:rsid w:val="00EE0F63"/>
    <w:rsid w:val="00EE18E9"/>
    <w:rsid w:val="00EE4BF8"/>
    <w:rsid w:val="00EE5032"/>
    <w:rsid w:val="00EF519C"/>
    <w:rsid w:val="00F015A7"/>
    <w:rsid w:val="00F03411"/>
    <w:rsid w:val="00F218B0"/>
    <w:rsid w:val="00F24D51"/>
    <w:rsid w:val="00F26DF6"/>
    <w:rsid w:val="00F2717A"/>
    <w:rsid w:val="00F27662"/>
    <w:rsid w:val="00F30CFB"/>
    <w:rsid w:val="00F3578A"/>
    <w:rsid w:val="00F36277"/>
    <w:rsid w:val="00F37E64"/>
    <w:rsid w:val="00F43F38"/>
    <w:rsid w:val="00F46251"/>
    <w:rsid w:val="00F46473"/>
    <w:rsid w:val="00F47DC3"/>
    <w:rsid w:val="00F503BD"/>
    <w:rsid w:val="00F50430"/>
    <w:rsid w:val="00F51368"/>
    <w:rsid w:val="00F529E7"/>
    <w:rsid w:val="00F55356"/>
    <w:rsid w:val="00F55496"/>
    <w:rsid w:val="00F5598B"/>
    <w:rsid w:val="00F64E39"/>
    <w:rsid w:val="00F67098"/>
    <w:rsid w:val="00F67C15"/>
    <w:rsid w:val="00F70E70"/>
    <w:rsid w:val="00F73FC6"/>
    <w:rsid w:val="00F77A17"/>
    <w:rsid w:val="00F8056A"/>
    <w:rsid w:val="00F808C4"/>
    <w:rsid w:val="00F80DDE"/>
    <w:rsid w:val="00F853F2"/>
    <w:rsid w:val="00F86176"/>
    <w:rsid w:val="00F876AF"/>
    <w:rsid w:val="00F9025F"/>
    <w:rsid w:val="00F90EA7"/>
    <w:rsid w:val="00F918F8"/>
    <w:rsid w:val="00F91E7F"/>
    <w:rsid w:val="00F92AD8"/>
    <w:rsid w:val="00F94202"/>
    <w:rsid w:val="00F9609E"/>
    <w:rsid w:val="00F96189"/>
    <w:rsid w:val="00F97570"/>
    <w:rsid w:val="00FA252B"/>
    <w:rsid w:val="00FA333F"/>
    <w:rsid w:val="00FA3F37"/>
    <w:rsid w:val="00FA4CAC"/>
    <w:rsid w:val="00FA64E6"/>
    <w:rsid w:val="00FA789A"/>
    <w:rsid w:val="00FB3574"/>
    <w:rsid w:val="00FB4769"/>
    <w:rsid w:val="00FB6F5A"/>
    <w:rsid w:val="00FB7504"/>
    <w:rsid w:val="00FC7A94"/>
    <w:rsid w:val="00FD05F1"/>
    <w:rsid w:val="00FD5922"/>
    <w:rsid w:val="00FD7384"/>
    <w:rsid w:val="00FE242C"/>
    <w:rsid w:val="00FE2679"/>
    <w:rsid w:val="00FE2E23"/>
    <w:rsid w:val="00FF0A79"/>
    <w:rsid w:val="00FF0CDE"/>
    <w:rsid w:val="00FF362A"/>
    <w:rsid w:val="00FF57E9"/>
    <w:rsid w:val="00FF7022"/>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81F"/>
    <w:pPr>
      <w:spacing w:after="200" w:line="276" w:lineRule="auto"/>
    </w:pPr>
    <w:rPr>
      <w:lang w:eastAsia="en-US"/>
    </w:rPr>
  </w:style>
  <w:style w:type="paragraph" w:styleId="Heading1">
    <w:name w:val="heading 1"/>
    <w:basedOn w:val="Normal"/>
    <w:next w:val="Normal"/>
    <w:link w:val="Heading1Char"/>
    <w:uiPriority w:val="99"/>
    <w:qFormat/>
    <w:rsid w:val="00A31BBE"/>
    <w:pPr>
      <w:keepNext/>
      <w:spacing w:after="0" w:line="240" w:lineRule="auto"/>
      <w:jc w:val="center"/>
      <w:outlineLvl w:val="0"/>
    </w:pPr>
    <w:rPr>
      <w:rFonts w:ascii="Times New Roman" w:eastAsia="Times New Roman" w:hAnsi="Times New Roman"/>
      <w:b/>
      <w:sz w:val="24"/>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31BBE"/>
    <w:rPr>
      <w:rFonts w:ascii="Times New Roman" w:hAnsi="Times New Roman" w:cs="Times New Roman"/>
      <w:b/>
      <w:sz w:val="24"/>
      <w:szCs w:val="24"/>
      <w:lang w:val="nl-NL"/>
    </w:rPr>
  </w:style>
  <w:style w:type="table" w:styleId="TableGrid">
    <w:name w:val="Table Grid"/>
    <w:basedOn w:val="TableNormal"/>
    <w:uiPriority w:val="99"/>
    <w:rsid w:val="001C3A1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ED10C6"/>
    <w:pPr>
      <w:ind w:left="720"/>
      <w:contextualSpacing/>
    </w:pPr>
  </w:style>
  <w:style w:type="character" w:customStyle="1" w:styleId="normal-h1">
    <w:name w:val="normal-h1"/>
    <w:basedOn w:val="DefaultParagraphFont"/>
    <w:uiPriority w:val="99"/>
    <w:rsid w:val="00C267C5"/>
    <w:rPr>
      <w:rFonts w:ascii=".VnTime" w:hAnsi=".VnTime" w:cs="Times New Roman"/>
      <w:color w:val="0000FF"/>
      <w:sz w:val="24"/>
      <w:szCs w:val="24"/>
    </w:rPr>
  </w:style>
  <w:style w:type="paragraph" w:styleId="Header">
    <w:name w:val="header"/>
    <w:basedOn w:val="Normal"/>
    <w:link w:val="HeaderChar"/>
    <w:uiPriority w:val="99"/>
    <w:rsid w:val="00297B1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97B17"/>
    <w:rPr>
      <w:rFonts w:cs="Times New Roman"/>
    </w:rPr>
  </w:style>
  <w:style w:type="paragraph" w:styleId="Footer">
    <w:name w:val="footer"/>
    <w:basedOn w:val="Normal"/>
    <w:link w:val="FooterChar"/>
    <w:uiPriority w:val="99"/>
    <w:rsid w:val="00297B1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97B17"/>
    <w:rPr>
      <w:rFonts w:cs="Times New Roman"/>
    </w:rPr>
  </w:style>
  <w:style w:type="paragraph" w:styleId="NormalWeb">
    <w:name w:val="Normal (Web)"/>
    <w:basedOn w:val="Normal"/>
    <w:uiPriority w:val="99"/>
    <w:rsid w:val="00807DA2"/>
    <w:pPr>
      <w:spacing w:before="100" w:beforeAutospacing="1" w:after="100" w:afterAutospacing="1" w:line="240" w:lineRule="auto"/>
    </w:pPr>
    <w:rPr>
      <w:rFonts w:ascii="Times New Roman" w:eastAsia="Times New Roman" w:hAnsi="Times New Roman"/>
      <w:sz w:val="24"/>
      <w:szCs w:val="24"/>
      <w:lang w:val="en-US"/>
    </w:rPr>
  </w:style>
  <w:style w:type="character" w:styleId="CommentReference">
    <w:name w:val="annotation reference"/>
    <w:basedOn w:val="DefaultParagraphFont"/>
    <w:uiPriority w:val="99"/>
    <w:rsid w:val="00F503BD"/>
    <w:rPr>
      <w:rFonts w:cs="Times New Roman"/>
      <w:sz w:val="16"/>
      <w:szCs w:val="16"/>
    </w:rPr>
  </w:style>
  <w:style w:type="paragraph" w:styleId="CommentText">
    <w:name w:val="annotation text"/>
    <w:basedOn w:val="Normal"/>
    <w:link w:val="CommentTextChar"/>
    <w:uiPriority w:val="99"/>
    <w:rsid w:val="00F503BD"/>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locked/>
    <w:rsid w:val="00F503BD"/>
    <w:rPr>
      <w:rFonts w:ascii="Times New Roman" w:hAnsi="Times New Roman" w:cs="Times New Roman"/>
      <w:sz w:val="20"/>
      <w:szCs w:val="20"/>
      <w:lang w:val="en-US"/>
    </w:rPr>
  </w:style>
  <w:style w:type="paragraph" w:styleId="BalloonText">
    <w:name w:val="Balloon Text"/>
    <w:basedOn w:val="Normal"/>
    <w:link w:val="BalloonTextChar"/>
    <w:uiPriority w:val="99"/>
    <w:semiHidden/>
    <w:rsid w:val="00F50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03B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F47DC3"/>
    <w:pPr>
      <w:spacing w:after="200"/>
    </w:pPr>
    <w:rPr>
      <w:rFonts w:ascii="Calibri" w:eastAsia="Calibri" w:hAnsi="Calibri"/>
      <w:b/>
      <w:bCs/>
      <w:lang w:val="vi-VN"/>
    </w:rPr>
  </w:style>
  <w:style w:type="character" w:customStyle="1" w:styleId="CommentSubjectChar">
    <w:name w:val="Comment Subject Char"/>
    <w:basedOn w:val="CommentTextChar"/>
    <w:link w:val="CommentSubject"/>
    <w:uiPriority w:val="99"/>
    <w:semiHidden/>
    <w:locked/>
    <w:rsid w:val="00F47DC3"/>
    <w:rPr>
      <w:b/>
      <w:bCs/>
    </w:rPr>
  </w:style>
  <w:style w:type="paragraph" w:styleId="BodyTextIndent3">
    <w:name w:val="Body Text Indent 3"/>
    <w:basedOn w:val="Normal"/>
    <w:link w:val="BodyTextIndent3Char"/>
    <w:uiPriority w:val="99"/>
    <w:rsid w:val="00DA72E7"/>
    <w:pPr>
      <w:spacing w:after="0" w:line="240" w:lineRule="auto"/>
      <w:ind w:firstLine="720"/>
      <w:jc w:val="both"/>
    </w:pPr>
    <w:rPr>
      <w:rFonts w:ascii=".VnTime" w:eastAsia="Times New Roman" w:hAnsi=".VnTime"/>
      <w:sz w:val="28"/>
      <w:szCs w:val="20"/>
      <w:lang w:val="en-US"/>
    </w:rPr>
  </w:style>
  <w:style w:type="character" w:customStyle="1" w:styleId="BodyTextIndent3Char">
    <w:name w:val="Body Text Indent 3 Char"/>
    <w:basedOn w:val="DefaultParagraphFont"/>
    <w:link w:val="BodyTextIndent3"/>
    <w:uiPriority w:val="99"/>
    <w:locked/>
    <w:rsid w:val="00DA72E7"/>
    <w:rPr>
      <w:rFonts w:ascii=".VnTime" w:hAnsi=".VnTime" w:cs="Times New Roman"/>
      <w:sz w:val="20"/>
      <w:szCs w:val="20"/>
      <w:lang w:val="en-US"/>
    </w:rPr>
  </w:style>
  <w:style w:type="paragraph" w:styleId="BodyTextIndent2">
    <w:name w:val="Body Text Indent 2"/>
    <w:basedOn w:val="Normal"/>
    <w:link w:val="BodyTextIndent2Char"/>
    <w:uiPriority w:val="99"/>
    <w:rsid w:val="001977FF"/>
    <w:pPr>
      <w:spacing w:after="120" w:line="480" w:lineRule="auto"/>
      <w:ind w:left="360"/>
    </w:pPr>
    <w:rPr>
      <w:rFonts w:ascii=".VnTime" w:eastAsia="Times New Roman" w:hAnsi=".VnTime"/>
      <w:sz w:val="28"/>
      <w:szCs w:val="20"/>
      <w:lang w:val="en-US"/>
    </w:rPr>
  </w:style>
  <w:style w:type="character" w:customStyle="1" w:styleId="BodyTextIndent2Char">
    <w:name w:val="Body Text Indent 2 Char"/>
    <w:basedOn w:val="DefaultParagraphFont"/>
    <w:link w:val="BodyTextIndent2"/>
    <w:uiPriority w:val="99"/>
    <w:locked/>
    <w:rsid w:val="001977FF"/>
    <w:rPr>
      <w:rFonts w:ascii=".VnTime" w:hAnsi=".VnTime" w:cs="Times New Roman"/>
      <w:sz w:val="20"/>
      <w:szCs w:val="20"/>
      <w:lang w:val="en-US"/>
    </w:rPr>
  </w:style>
  <w:style w:type="character" w:customStyle="1" w:styleId="apple-converted-space">
    <w:name w:val="apple-converted-space"/>
    <w:basedOn w:val="DefaultParagraphFont"/>
    <w:rsid w:val="00E93127"/>
    <w:rPr>
      <w:rFonts w:cs="Times New Roman"/>
    </w:rPr>
  </w:style>
  <w:style w:type="character" w:styleId="Hyperlink">
    <w:name w:val="Hyperlink"/>
    <w:basedOn w:val="DefaultParagraphFont"/>
    <w:uiPriority w:val="99"/>
    <w:semiHidden/>
    <w:unhideWhenUsed/>
    <w:rsid w:val="0023425B"/>
    <w:rPr>
      <w:color w:val="0000FF"/>
      <w:u w:val="single"/>
    </w:rPr>
  </w:style>
</w:styles>
</file>

<file path=word/webSettings.xml><?xml version="1.0" encoding="utf-8"?>
<w:webSettings xmlns:r="http://schemas.openxmlformats.org/officeDocument/2006/relationships" xmlns:w="http://schemas.openxmlformats.org/wordprocessingml/2006/main">
  <w:divs>
    <w:div w:id="2137720634">
      <w:marLeft w:val="0"/>
      <w:marRight w:val="0"/>
      <w:marTop w:val="0"/>
      <w:marBottom w:val="0"/>
      <w:divBdr>
        <w:top w:val="none" w:sz="0" w:space="0" w:color="auto"/>
        <w:left w:val="none" w:sz="0" w:space="0" w:color="auto"/>
        <w:bottom w:val="none" w:sz="0" w:space="0" w:color="auto"/>
        <w:right w:val="none" w:sz="0" w:space="0" w:color="auto"/>
      </w:divBdr>
    </w:div>
    <w:div w:id="2137720635">
      <w:marLeft w:val="0"/>
      <w:marRight w:val="0"/>
      <w:marTop w:val="0"/>
      <w:marBottom w:val="0"/>
      <w:divBdr>
        <w:top w:val="none" w:sz="0" w:space="0" w:color="auto"/>
        <w:left w:val="none" w:sz="0" w:space="0" w:color="auto"/>
        <w:bottom w:val="none" w:sz="0" w:space="0" w:color="auto"/>
        <w:right w:val="none" w:sz="0" w:space="0" w:color="auto"/>
      </w:divBdr>
    </w:div>
    <w:div w:id="2137720636">
      <w:marLeft w:val="0"/>
      <w:marRight w:val="0"/>
      <w:marTop w:val="0"/>
      <w:marBottom w:val="0"/>
      <w:divBdr>
        <w:top w:val="none" w:sz="0" w:space="0" w:color="auto"/>
        <w:left w:val="none" w:sz="0" w:space="0" w:color="auto"/>
        <w:bottom w:val="none" w:sz="0" w:space="0" w:color="auto"/>
        <w:right w:val="none" w:sz="0" w:space="0" w:color="auto"/>
      </w:divBdr>
    </w:div>
    <w:div w:id="2137720637">
      <w:marLeft w:val="0"/>
      <w:marRight w:val="0"/>
      <w:marTop w:val="0"/>
      <w:marBottom w:val="0"/>
      <w:divBdr>
        <w:top w:val="none" w:sz="0" w:space="0" w:color="auto"/>
        <w:left w:val="none" w:sz="0" w:space="0" w:color="auto"/>
        <w:bottom w:val="none" w:sz="0" w:space="0" w:color="auto"/>
        <w:right w:val="none" w:sz="0" w:space="0" w:color="auto"/>
      </w:divBdr>
    </w:div>
    <w:div w:id="21377206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thuvienphapluat.vn/van-ban/xay-dung-do-thi/quyet-dinh-2081-qd-ttg-nam-2013-phe-duyet-chuong-trinh-cap-dien-nong-thon-mien-nui-hai-dao-213157.asp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15E502-7E91-48F5-975E-2A9F1FB1B7D6}"/>
</file>

<file path=customXml/itemProps2.xml><?xml version="1.0" encoding="utf-8"?>
<ds:datastoreItem xmlns:ds="http://schemas.openxmlformats.org/officeDocument/2006/customXml" ds:itemID="{70D2F81B-062E-4897-9DA5-684CC68E1D26}"/>
</file>

<file path=customXml/itemProps3.xml><?xml version="1.0" encoding="utf-8"?>
<ds:datastoreItem xmlns:ds="http://schemas.openxmlformats.org/officeDocument/2006/customXml" ds:itemID="{9379AE71-57F5-42D2-BB5C-765654329877}"/>
</file>

<file path=docProps/app.xml><?xml version="1.0" encoding="utf-8"?>
<Properties xmlns="http://schemas.openxmlformats.org/officeDocument/2006/extended-properties" xmlns:vt="http://schemas.openxmlformats.org/officeDocument/2006/docPropsVTypes">
  <Template>Normal</Template>
  <TotalTime>4</TotalTime>
  <Pages>9</Pages>
  <Words>3195</Words>
  <Characters>18217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BỘ TÀI CHÍNH</vt:lpstr>
    </vt:vector>
  </TitlesOfParts>
  <Company>Hewlett-Packard Company</Company>
  <LinksUpToDate>false</LinksUpToDate>
  <CharactersWithSpaces>21370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nguyenduylong</dc:creator>
  <cp:lastModifiedBy>lethuylinh2</cp:lastModifiedBy>
  <cp:revision>3</cp:revision>
  <cp:lastPrinted>2019-12-02T07:20:00Z</cp:lastPrinted>
  <dcterms:created xsi:type="dcterms:W3CDTF">2020-01-02T04:16:00Z</dcterms:created>
  <dcterms:modified xsi:type="dcterms:W3CDTF">2020-01-02T04:20:00Z</dcterms:modified>
</cp:coreProperties>
</file>